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Report for Toronto_Food_Trucks_Copied_And_Pasted.txt</w:t>
      </w:r>
    </w:p>
    <w:p>
      <w:r>
        <w:t>Overall Score: 66.67%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webpage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guide to license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bylaws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penalties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provincial business license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provincial food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food business license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retail license for CPG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curbside vending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parking fees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noise bylaws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traffic bylaws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operation hours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branded consumer goods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private property operation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proximity regulations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restaurant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min distance to food truck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non-food service proximity restrictions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proximity from other business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num food trucks allowed in geographic area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parking locations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additional private restrictions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name of local authority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direct link to authority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insurance requirements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physical requirements for trucks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exterior appearance guidelines</w:t>
            </w:r>
          </w:p>
        </w:tc>
        <w:tc>
          <w:tcPr>
            <w:tcW w:type="dxa" w:w="1440"/>
          </w:tcPr>
          <w:p>
            <w:r>
              <w:t>+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