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Summary Report for Windsor_Food_Trucks_Copied_And_Pasted.txt</w:t>
      </w:r>
    </w:p>
    <w:p>
      <w:r>
        <w:t>Overall Score: 23.33%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1440"/>
          </w:tcPr>
          <w:p>
            <w:r>
              <w:t>Found</w:t>
            </w:r>
          </w:p>
        </w:tc>
      </w:tr>
      <w:tr>
        <w:tc>
          <w:tcPr>
            <w:tcW w:type="dxa" w:w="4320"/>
          </w:tcPr>
          <w:p>
            <w:r>
              <w:t>webpage</w:t>
            </w:r>
          </w:p>
        </w:tc>
        <w:tc>
          <w:tcPr>
            <w:tcW w:type="dxa" w:w="1440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checklist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guide to license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bylaws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penalties</w:t>
            </w:r>
          </w:p>
        </w:tc>
        <w:tc>
          <w:tcPr>
            <w:tcW w:type="dxa" w:w="1440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provincial business license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provincial food business license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municipal business license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municipal food business license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retail license for CPG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curbside vending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parking fees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noise bylaws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traffic bylaws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operation hours</w:t>
            </w:r>
          </w:p>
        </w:tc>
        <w:tc>
          <w:tcPr>
            <w:tcW w:type="dxa" w:w="1440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branded consumer goods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private property operation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proximity regulations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min distance to restaurant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min distance to food truck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non-food service proximity restrictions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min distance proximity from other business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num food trucks allowed in geographic area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parking locations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additional private restrictions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name of local authority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direct link to authority</w:t>
            </w:r>
          </w:p>
        </w:tc>
        <w:tc>
          <w:tcPr>
            <w:tcW w:type="dxa" w:w="1440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insurance requirements</w:t>
            </w:r>
          </w:p>
        </w:tc>
        <w:tc>
          <w:tcPr>
            <w:tcW w:type="dxa" w:w="1440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physical requirements for trucks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exterior appearance guidelines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