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1. Municipality Report Overview  </w:t>
        <w:br/>
        <w:t>The document provides detailed information on the licensing fees, application requirements, and operational guidelines for mobile food vendors in Windsor, Ontario. It includes specific classes of vendors, associated costs, identification requirements, insurance requirements, and links to relevant bylaws.</w:t>
        <w:br/>
        <w:br/>
        <w:t xml:space="preserve">2. Category Scores and Evidence  </w:t>
        <w:br/>
        <w:br/>
        <w:t xml:space="preserve">Webpage Availability  </w:t>
        <w:br/>
        <w:t xml:space="preserve">Score: 0  </w:t>
        <w:br/>
        <w:t>Evidence: No dedicated food truck webpage or section found within the document.</w:t>
        <w:br/>
        <w:br/>
        <w:t xml:space="preserve">Application Checklist  </w:t>
        <w:br/>
        <w:t xml:space="preserve">Score: 1  </w:t>
        <w:br/>
        <w:t>Evidence: Application form provided includes some checklist elements but not explicitly formatted as a checklist.</w:t>
        <w:br/>
        <w:br/>
        <w:t xml:space="preserve">Operational Guide  </w:t>
        <w:br/>
        <w:t xml:space="preserve">Score: 0  </w:t>
        <w:br/>
        <w:t>Evidence: No operational guide found for new food truck entrepreneurs.</w:t>
        <w:br/>
        <w:br/>
        <w:t xml:space="preserve">Bylaws Availability  </w:t>
        <w:br/>
        <w:t xml:space="preserve">Score: 0  </w:t>
        <w:br/>
        <w:t>Evidence: Bylaws are mentioned but not directly linked in the document.</w:t>
        <w:br/>
        <w:br/>
        <w:t xml:space="preserve">Accessibility of Bylaws  </w:t>
        <w:br/>
        <w:t xml:space="preserve">Score: 0  </w:t>
        <w:br/>
        <w:t>Evidence: No mention of compliance with accessibility web standards for bylaws.</w:t>
        <w:br/>
        <w:br/>
        <w:t xml:space="preserve">Penalties  </w:t>
        <w:br/>
        <w:t xml:space="preserve">Score: 0  </w:t>
        <w:br/>
        <w:t>Evidence: No detailed penalty information or fine values specific to food trucks provided.</w:t>
        <w:br/>
        <w:br/>
        <w:t xml:space="preserve">Provincial Business License  </w:t>
        <w:br/>
        <w:t xml:space="preserve">Score: 0  </w:t>
        <w:br/>
        <w:t>Evidence: No information provided regarding provincial business licenses.</w:t>
        <w:br/>
        <w:br/>
        <w:t xml:space="preserve">Provincial Food Business License  </w:t>
        <w:br/>
        <w:t xml:space="preserve">Score: 2  </w:t>
        <w:br/>
        <w:t>Evidence: Not required.</w:t>
        <w:br/>
        <w:br/>
        <w:t xml:space="preserve">Municipal Business License  </w:t>
        <w:br/>
        <w:t xml:space="preserve">Score: 0  </w:t>
        <w:br/>
        <w:t>Evidence: No information provided regarding this license, though application requirements mention a Business Licensing By-law.</w:t>
        <w:br/>
        <w:br/>
        <w:t xml:space="preserve">Municipal Food Business/Food Truck License  </w:t>
        <w:br/>
        <w:t xml:space="preserve">Score: 2  </w:t>
        <w:br/>
        <w:t>Evidence: Detailed information provided on application requirements with links to relevant bylaws.</w:t>
        <w:br/>
        <w:br/>
        <w:t xml:space="preserve">Retail License for CPG  </w:t>
        <w:br/>
        <w:t xml:space="preserve">Score: 2  </w:t>
        <w:br/>
        <w:t>Evidence: Not required.</w:t>
        <w:br/>
        <w:br/>
        <w:t xml:space="preserve">Parking on City Streets  </w:t>
        <w:br/>
        <w:t xml:space="preserve">Score: 0  </w:t>
        <w:br/>
        <w:t>Evidence: No information provided about curbside vending allowances.</w:t>
        <w:br/>
        <w:br/>
        <w:t xml:space="preserve">Fees for Parking  </w:t>
        <w:br/>
        <w:t xml:space="preserve">Score: 0  </w:t>
        <w:br/>
        <w:t>Evidence: No specific information regarding fees for on-street parking.</w:t>
        <w:br/>
        <w:br/>
        <w:t xml:space="preserve">Noise Bylaws  </w:t>
        <w:br/>
        <w:t xml:space="preserve">Score: 0  </w:t>
        <w:br/>
        <w:t>Evidence: No information provided about operating hours relative to noise bylaws.</w:t>
        <w:br/>
        <w:br/>
        <w:t xml:space="preserve">Traffic Bylaws  </w:t>
        <w:br/>
        <w:t xml:space="preserve">Score: 0  </w:t>
        <w:br/>
        <w:t>Evidence: No information provided about operating hours relative to traffic bylaws.</w:t>
        <w:br/>
        <w:br/>
        <w:t xml:space="preserve">Operating Hours Restriction  </w:t>
        <w:br/>
        <w:t xml:space="preserve">Score: 0  </w:t>
        <w:br/>
        <w:t>Evidence: No specified time restrictions mentioned for food truck operation.</w:t>
        <w:br/>
        <w:br/>
        <w:t xml:space="preserve">CPG Restriction  </w:t>
        <w:br/>
        <w:t xml:space="preserve">Score: 0  </w:t>
        <w:br/>
        <w:t>Evidence: No information provided about the sale of CPGs from food trucks.</w:t>
        <w:br/>
        <w:br/>
        <w:t xml:space="preserve">Private Property Operation  </w:t>
        <w:br/>
        <w:t xml:space="preserve">Score: 0  </w:t>
        <w:br/>
        <w:t>Evidence: No information provided on the operation of food trucks on private property.</w:t>
        <w:br/>
        <w:br/>
        <w:t xml:space="preserve">Proximity to Other Food Services  </w:t>
        <w:br/>
        <w:t xml:space="preserve">Score: 0  </w:t>
        <w:br/>
        <w:t>Evidence: No information provided about proximity restrictions to other food services.</w:t>
        <w:br/>
        <w:br/>
        <w:t xml:space="preserve">Proximity to Non-Food Services  </w:t>
        <w:br/>
        <w:t xml:space="preserve">Score: 0  </w:t>
        <w:br/>
        <w:t>Evidence: No information provided about proximity restrictions to non-food services.</w:t>
        <w:br/>
        <w:br/>
        <w:t xml:space="preserve">Limit on Food Trucks in a Geographic Area  </w:t>
        <w:br/>
        <w:t xml:space="preserve">Score: 0  </w:t>
        <w:br/>
        <w:t>Evidence: No data on limitations of the number of trucks in a given area, although some restrictions within BIAs are noted.</w:t>
        <w:br/>
        <w:br/>
        <w:t xml:space="preserve">Designated Parking Locations  </w:t>
        <w:br/>
        <w:t xml:space="preserve">Score: 0  </w:t>
        <w:br/>
        <w:t>Evidence: No specific designation of parking spaces or maps for food trucks explained.</w:t>
        <w:br/>
        <w:br/>
        <w:t xml:space="preserve">Private Property Additional Restrictions  </w:t>
        <w:br/>
        <w:t xml:space="preserve">Score: 0  </w:t>
        <w:br/>
        <w:t>Evidence: No information provided on additional restrictions beyond property owner permission.</w:t>
        <w:br/>
        <w:br/>
        <w:t xml:space="preserve">Food Safety Inspection Authority  </w:t>
        <w:br/>
        <w:t xml:space="preserve">Score: 1  </w:t>
        <w:br/>
        <w:t>Evidence: Board of Health Approval mentioned but without a direct link.</w:t>
        <w:br/>
        <w:br/>
        <w:t xml:space="preserve">Food Safety Inspection Authority Link  </w:t>
        <w:br/>
        <w:t xml:space="preserve">Score: 1  </w:t>
        <w:br/>
        <w:t>Evidence: Board of Health Approval mentioned, directing to www.wechu.org.</w:t>
        <w:br/>
        <w:br/>
        <w:t xml:space="preserve">Insurance Requirements  </w:t>
        <w:br/>
        <w:t xml:space="preserve">Score: 2  </w:t>
        <w:br/>
        <w:t>Evidence: Detailed information provided on insurance requirements, including Commercial General Liability Insurance.</w:t>
        <w:br/>
        <w:br/>
        <w:t xml:space="preserve">Physical Requirements for Safe and Sanitary Operations  </w:t>
        <w:br/>
        <w:t xml:space="preserve">Score: 0  </w:t>
        <w:br/>
        <w:t>Evidence: No specific interior physical requirements outlined.</w:t>
        <w:br/>
        <w:br/>
        <w:t xml:space="preserve">Exterior Appearance Guidelines  </w:t>
        <w:br/>
        <w:t xml:space="preserve">Score: 0  </w:t>
        <w:br/>
        <w:t>Evidence: No guidelines provided on the exterior appearance of food trucks.</w:t>
        <w:br/>
        <w:br/>
        <w:t xml:space="preserve">3. Total Score  </w:t>
        <w:br/>
        <w:t>Total Score: 7 / 38</w:t>
        <w:br/>
        <w:br/>
        <w:t xml:space="preserve">4. Key Findings  </w:t>
        <w:br/>
        <w:t xml:space="preserve">- No centralized webpage or section for food truck-specific information found.  </w:t>
        <w:br/>
        <w:t xml:space="preserve">- Application requirements articulated, but application checklist simplicity is lacking.  </w:t>
        <w:br/>
        <w:t xml:space="preserve">- Detailed insurance requirements provided.  </w:t>
        <w:br/>
        <w:t xml:space="preserve">- Links to Board of Health for health inspection guidelines present.  </w:t>
        <w:br/>
        <w:t>- Proximity and geographic limitations are not specified.</w:t>
        <w:br/>
        <w:br/>
        <w:t xml:space="preserve">5. Recommendations  </w:t>
        <w:br/>
        <w:t xml:space="preserve">- Develop a dedicated webpage for food trucks, including all necessary information and documents.  </w:t>
        <w:br/>
        <w:t xml:space="preserve">- Provide a comprehensive and easy-to-understand application checklist specifically designed for food trucks.  </w:t>
        <w:br/>
        <w:t xml:space="preserve">- Consider including detailed penalty information to inform vendors about non-compliance consequences.  </w:t>
        <w:br/>
        <w:t xml:space="preserve">- Clarify rules on parking and operating hours to facilitate vendor planning and compliance.  </w:t>
        <w:br/>
        <w:t>- Include explicit information on proximity restrictions related to other food service and non-food service-related businesses.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