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黑体"/>
          <w:b/>
        </w:rPr>
        <w:t>模型建立与求解</w:t>
      </w:r>
    </w:p>
    <w:p>
      <w:pPr>
        <w:pStyle w:val="Heading2"/>
        <w:keepNext/>
      </w:pPr>
      <w:r>
        <w:rPr>
          <w:rFonts w:ascii="Times New Roman" w:hAnsi="Times New Roman" w:eastAsia="黑体"/>
          <w:b/>
        </w:rPr>
        <w:t>6.1 问题一：动态衰减模型与第23-29天剩磁预测</w:t>
      </w:r>
    </w:p>
    <w:p>
      <w:pPr>
        <w:pStyle w:val="Heading3"/>
        <w:keepNext/>
      </w:pPr>
      <w:r>
        <w:rPr>
          <w:rFonts w:ascii="Times New Roman" w:hAnsi="Times New Roman" w:eastAsia="宋体"/>
          <w:b/>
        </w:rPr>
        <w:t>6.1.1 模型思路与变量设定</w:t>
      </w:r>
    </w:p>
    <w:p>
      <w:pPr>
        <w:spacing w:line="360" w:lineRule="auto" w:after="0"/>
        <w:ind w:firstLine="480"/>
        <w:jc w:val="both"/>
      </w:pPr>
      <w:r>
        <w:rPr>
          <w:rFonts w:ascii="Times New Roman" w:hAnsi="Times New Roman" w:eastAsia="宋体"/>
        </w:rPr>
        <w:t>剩磁预测首先要处理不同样品初始剩磁差异。本文以样品第0天剩磁作为个体初值锚点，将后续剩磁分解为个体初值和类型平均保留率的乘积。这样可以把初始磁化水平差异从衰减规律中剥离出来，使模型重点刻画时间和环境对剩磁保留率的影响。</w:t>
      </w:r>
    </w:p>
    <w:p>
      <w:pPr>
        <w:spacing w:before="80" w:after="80"/>
        <w:jc w:val="center"/>
      </w:pPr>
      <w:r>
        <w:rPr>
          <w:rFonts w:ascii="Times New Roman" w:hAnsi="Times New Roman" w:eastAsia="宋体"/>
          <w:i/>
        </w:rPr>
        <w:t>M_{i,s}(t)=M_{i,s}(0)R_s(t),    R_{i,s}(t)=M_{i,s}(t)/M_{i,s}(0)</w:t>
      </w:r>
    </w:p>
    <w:p>
      <w:pPr>
        <w:spacing w:line="360" w:lineRule="auto" w:after="0"/>
        <w:ind w:firstLine="480"/>
        <w:jc w:val="both"/>
      </w:pPr>
      <w:r>
        <w:rPr>
          <w:rFonts w:ascii="Times New Roman" w:hAnsi="Times New Roman" w:eastAsia="宋体"/>
        </w:rPr>
        <w:t>其中，s 表示样品类型，i 表示同一类型下的样品编号，t 表示雷击后的检测天数。M_{i,s}(0) 为第0天初始剩磁，R_s(t) 为第 s 类样品共享的平均保留率函数。第0天只用于初值锚定，不计入环境累计暴露。</w:t>
      </w:r>
    </w:p>
    <w:p>
      <w:pPr>
        <w:spacing w:before="120"/>
        <w:jc w:val="center"/>
      </w:pPr>
      <w:r>
        <w:drawing>
          <wp:inline xmlns:a="http://schemas.openxmlformats.org/drawingml/2006/main" xmlns:pic="http://schemas.openxmlformats.org/drawingml/2006/picture">
            <wp:extent cx="5328000" cy="3532991"/>
            <wp:docPr id="1" name="Picture 1"/>
            <wp:cNvGraphicFramePr>
              <a:graphicFrameLocks noChangeAspect="1"/>
            </wp:cNvGraphicFramePr>
            <a:graphic>
              <a:graphicData uri="http://schemas.openxmlformats.org/drawingml/2006/picture">
                <pic:pic>
                  <pic:nvPicPr>
                    <pic:cNvPr id="0" name="fig1_raw_decay_science.png"/>
                    <pic:cNvPicPr/>
                  </pic:nvPicPr>
                  <pic:blipFill>
                    <a:blip r:embed="rId9"/>
                    <a:stretch>
                      <a:fillRect/>
                    </a:stretch>
                  </pic:blipFill>
                  <pic:spPr>
                    <a:xfrm>
                      <a:off x="0" y="0"/>
                      <a:ext cx="5328000" cy="3532991"/>
                    </a:xfrm>
                    <a:prstGeom prst="rect"/>
                  </pic:spPr>
                </pic:pic>
              </a:graphicData>
            </a:graphic>
          </wp:inline>
        </w:drawing>
      </w:r>
    </w:p>
    <w:p>
      <w:pPr>
        <w:spacing w:before="40" w:after="120"/>
        <w:jc w:val="center"/>
      </w:pPr>
      <w:r>
        <w:rPr>
          <w:rFonts w:ascii="Times New Roman" w:hAnsi="Times New Roman" w:eastAsia="宋体"/>
          <w:sz w:val="21"/>
        </w:rPr>
        <w:t>图1 原始剩磁衰减曲线</w:t>
      </w:r>
    </w:p>
    <w:p>
      <w:pPr>
        <w:spacing w:before="120"/>
        <w:jc w:val="center"/>
      </w:pPr>
      <w:r>
        <w:drawing>
          <wp:inline xmlns:a="http://schemas.openxmlformats.org/drawingml/2006/main" xmlns:pic="http://schemas.openxmlformats.org/drawingml/2006/picture">
            <wp:extent cx="5328000" cy="3532991"/>
            <wp:docPr id="2" name="Picture 2"/>
            <wp:cNvGraphicFramePr>
              <a:graphicFrameLocks noChangeAspect="1"/>
            </wp:cNvGraphicFramePr>
            <a:graphic>
              <a:graphicData uri="http://schemas.openxmlformats.org/drawingml/2006/picture">
                <pic:pic>
                  <pic:nvPicPr>
                    <pic:cNvPr id="0" name="fig2_normalized_retention_science.png"/>
                    <pic:cNvPicPr/>
                  </pic:nvPicPr>
                  <pic:blipFill>
                    <a:blip r:embed="rId10"/>
                    <a:stretch>
                      <a:fillRect/>
                    </a:stretch>
                  </pic:blipFill>
                  <pic:spPr>
                    <a:xfrm>
                      <a:off x="0" y="0"/>
                      <a:ext cx="5328000" cy="3532991"/>
                    </a:xfrm>
                    <a:prstGeom prst="rect"/>
                  </pic:spPr>
                </pic:pic>
              </a:graphicData>
            </a:graphic>
          </wp:inline>
        </w:drawing>
      </w:r>
    </w:p>
    <w:p>
      <w:pPr>
        <w:spacing w:before="40" w:after="120"/>
        <w:jc w:val="center"/>
      </w:pPr>
      <w:r>
        <w:rPr>
          <w:rFonts w:ascii="Times New Roman" w:hAnsi="Times New Roman" w:eastAsia="宋体"/>
          <w:sz w:val="21"/>
        </w:rPr>
        <w:t>图2 归一化保留率及95%置信区间</w:t>
      </w:r>
    </w:p>
    <w:p>
      <w:pPr>
        <w:pStyle w:val="Heading3"/>
        <w:keepNext/>
      </w:pPr>
      <w:r>
        <w:rPr>
          <w:rFonts w:ascii="Times New Roman" w:hAnsi="Times New Roman" w:eastAsia="宋体"/>
          <w:b/>
        </w:rPr>
        <w:t>6.1.2 环境驱动指数衰减模型建立</w:t>
      </w:r>
    </w:p>
    <w:p>
      <w:pPr>
        <w:spacing w:line="360" w:lineRule="auto" w:after="0"/>
        <w:ind w:firstLine="480"/>
        <w:jc w:val="both"/>
      </w:pPr>
      <w:r>
        <w:rPr>
          <w:rFonts w:ascii="Times New Roman" w:hAnsi="Times New Roman" w:eastAsia="宋体"/>
        </w:rPr>
        <w:t>在归一化后，本文采用对数衰减量 Y_s(t)=-ln R_s(t) 建模。该写法与指数衰减形式相容，也便于把时间、累计温度、累计湿度和温湿交互项放入同一线性框架。按照仓库技术路线，环境项从第1天开始逐日累计。</w:t>
      </w:r>
    </w:p>
    <w:p>
      <w:pPr>
        <w:spacing w:before="80" w:after="80"/>
        <w:jc w:val="center"/>
      </w:pPr>
      <w:r>
        <w:rPr>
          <w:rFonts w:ascii="Times New Roman" w:hAnsi="Times New Roman" w:eastAsia="宋体"/>
          <w:i/>
        </w:rPr>
        <w:t>Y_s(t)=a_s t+b_s t^2+beta_s A_T(t)+gamma_s A_H(t)+delta_s A_TH(t)+eta_s</w:t>
      </w:r>
    </w:p>
    <w:p>
      <w:pPr>
        <w:spacing w:before="80" w:after="80"/>
        <w:jc w:val="center"/>
      </w:pPr>
      <w:r>
        <w:rPr>
          <w:rFonts w:ascii="Times New Roman" w:hAnsi="Times New Roman" w:eastAsia="宋体"/>
          <w:i/>
        </w:rPr>
        <w:t>A_TH(t)=sum_{d=1}^t max(T_d-T*,0)max(H_d-H*,0)</w:t>
      </w:r>
    </w:p>
    <w:p>
      <w:pPr>
        <w:spacing w:line="360" w:lineRule="auto" w:after="0"/>
        <w:ind w:firstLine="480"/>
        <w:jc w:val="both"/>
      </w:pPr>
      <w:r>
        <w:rPr>
          <w:rFonts w:ascii="Times New Roman" w:hAnsi="Times New Roman" w:eastAsia="宋体"/>
        </w:rPr>
        <w:t>式中，A_T(t) 和 A_H(t) 分别表示累计温度偏离量和累计湿度偏离量，A_TH(t) 表示门槛型温湿交互暴露。该交互项只在温度、湿度同时超过门槛时累积，用于描述高温高湿共同出现时对衰减的额外修正。由于四类样品共享同一条天气序列，环境项只作统计关联和工程修正解释，不作严格独立因果外推。</w:t>
      </w:r>
    </w:p>
    <w:p>
      <w:pPr>
        <w:spacing w:before="120"/>
        <w:jc w:val="center"/>
      </w:pPr>
      <w:r>
        <w:drawing>
          <wp:inline xmlns:a="http://schemas.openxmlformats.org/drawingml/2006/main" xmlns:pic="http://schemas.openxmlformats.org/drawingml/2006/picture">
            <wp:extent cx="5328000" cy="3763153"/>
            <wp:docPr id="3" name="Picture 3"/>
            <wp:cNvGraphicFramePr>
              <a:graphicFrameLocks noChangeAspect="1"/>
            </wp:cNvGraphicFramePr>
            <a:graphic>
              <a:graphicData uri="http://schemas.openxmlformats.org/drawingml/2006/picture">
                <pic:pic>
                  <pic:nvPicPr>
                    <pic:cNvPr id="0" name="fig3_m0_vs_m90_ratio_science.png"/>
                    <pic:cNvPicPr/>
                  </pic:nvPicPr>
                  <pic:blipFill>
                    <a:blip r:embed="rId11"/>
                    <a:stretch>
                      <a:fillRect/>
                    </a:stretch>
                  </pic:blipFill>
                  <pic:spPr>
                    <a:xfrm>
                      <a:off x="0" y="0"/>
                      <a:ext cx="5328000" cy="3763153"/>
                    </a:xfrm>
                    <a:prstGeom prst="rect"/>
                  </pic:spPr>
                </pic:pic>
              </a:graphicData>
            </a:graphic>
          </wp:inline>
        </w:drawing>
      </w:r>
    </w:p>
    <w:p>
      <w:pPr>
        <w:spacing w:before="40" w:after="120"/>
        <w:jc w:val="center"/>
      </w:pPr>
      <w:r>
        <w:rPr>
          <w:rFonts w:ascii="Times New Roman" w:hAnsi="Times New Roman" w:eastAsia="宋体"/>
          <w:sz w:val="21"/>
        </w:rPr>
        <w:t>图3 初始剩磁与90天保留率关系</w:t>
      </w:r>
    </w:p>
    <w:p>
      <w:pPr>
        <w:pStyle w:val="Heading3"/>
        <w:keepNext/>
      </w:pPr>
      <w:r>
        <w:rPr>
          <w:rFonts w:ascii="Times New Roman" w:hAnsi="Times New Roman" w:eastAsia="宋体"/>
          <w:b/>
        </w:rPr>
        <w:t>6.1.3 参数估计与模型求解</w:t>
      </w:r>
    </w:p>
    <w:p>
      <w:pPr>
        <w:spacing w:line="360" w:lineRule="auto" w:after="0"/>
        <w:ind w:firstLine="480"/>
        <w:jc w:val="both"/>
      </w:pPr>
      <w:r>
        <w:rPr>
          <w:rFonts w:ascii="Times New Roman" w:hAnsi="Times New Roman" w:eastAsia="宋体"/>
        </w:rPr>
        <w:t>参数估计以对数衰减量为因变量，以时间、时间二次项、累计温度、累计湿度、门槛型温湿交互项、样品类型主效应和类型-时间交互项为解释变量。样品类型用于刻画材料、形状和锈蚀状态差异；类型-时间交互项用于允许不同样品类型具有不同长期衰减速度。</w:t>
      </w:r>
    </w:p>
    <w:p>
      <w:pPr>
        <w:spacing w:line="360" w:lineRule="auto" w:after="0"/>
        <w:ind w:firstLine="480"/>
        <w:jc w:val="both"/>
      </w:pPr>
      <w:r>
        <w:rPr>
          <w:rFonts w:ascii="Times New Roman" w:hAnsi="Times New Roman" w:eastAsia="宋体"/>
        </w:rPr>
        <w:t>旧草稿中的求解结果显示，对数尺度 R2=0.999409，RMSE=0.043721；换算回剩磁尺度后，RMSE=0.050741 mT，MAE=0.035562 mT，MAPE=3.61%。这说明模型能够较好重建四类样品的衰减轨迹，可以作为后续因素分析、阈值修正和现场判定的公共基础模型。</w:t>
      </w:r>
    </w:p>
    <w:p>
      <w:pPr>
        <w:pStyle w:val="Heading3"/>
        <w:keepNext/>
      </w:pPr>
      <w:r>
        <w:rPr>
          <w:rFonts w:ascii="Times New Roman" w:hAnsi="Times New Roman" w:eastAsia="宋体"/>
          <w:b/>
        </w:rPr>
        <w:t>6.1.4 第23-29天剩磁预测结果</w:t>
      </w:r>
    </w:p>
    <w:p>
      <w:pPr>
        <w:spacing w:line="360" w:lineRule="auto" w:after="0"/>
        <w:ind w:firstLine="480"/>
        <w:jc w:val="both"/>
      </w:pPr>
      <w:r>
        <w:rPr>
          <w:rFonts w:ascii="Times New Roman" w:hAnsi="Times New Roman" w:eastAsia="宋体"/>
        </w:rPr>
        <w:t>第23-29天不在附件1的直接测量时间点中，本文先由模型预测对应天数的类型平均保留率，再与类型初始剩磁代表值相乘，得到四类样品的剩磁预测值。预测结果如下表所示。</w:t>
      </w:r>
    </w:p>
    <w:p>
      <w:pPr>
        <w:spacing w:before="120" w:after="60"/>
        <w:jc w:val="center"/>
      </w:pPr>
      <w:r>
        <w:rPr>
          <w:rFonts w:ascii="Times New Roman" w:hAnsi="Times New Roman" w:eastAsia="宋体"/>
          <w:b/>
          <w:sz w:val="21"/>
        </w:rPr>
        <w:t>表1 第23-29天四类样品预测剩磁值（mT）</w:t>
      </w:r>
    </w:p>
    <w:tbl>
      <w:tblPr>
        <w:tblStyle w:val="TableGrid"/>
        <w:tblW w:type="auto" w:w="0"/>
        <w:tblLayout w:type="autofit"/>
        <w:tblLook w:firstColumn="1" w:firstRow="1" w:lastColumn="0" w:lastRow="0" w:noHBand="0" w:noVBand="1" w:val="04A0"/>
      </w:tblPr>
      <w:tblGrid>
        <w:gridCol w:w="1814"/>
        <w:gridCol w:w="1814"/>
        <w:gridCol w:w="1814"/>
        <w:gridCol w:w="1814"/>
        <w:gridCol w:w="1814"/>
      </w:tblGrid>
      <w:tr>
        <w:tc>
          <w:tcPr>
            <w:tcW w:type="dxa" w:w="1814"/>
            <w:vAlign w:val="center"/>
            <w:shd w:fill="D9EAF7"/>
          </w:tcPr>
          <w:p>
            <w:pPr>
              <w:jc w:val="center"/>
            </w:pPr>
            <w:r>
              <w:rPr>
                <w:rFonts w:ascii="Times New Roman" w:hAnsi="Times New Roman" w:eastAsia="宋体"/>
                <w:b/>
                <w:sz w:val="18"/>
              </w:rPr>
              <w:t>测量天数</w:t>
            </w:r>
          </w:p>
        </w:tc>
        <w:tc>
          <w:tcPr>
            <w:tcW w:type="dxa" w:w="1814"/>
            <w:vAlign w:val="center"/>
            <w:shd w:fill="D9EAF7"/>
          </w:tcPr>
          <w:p>
            <w:pPr>
              <w:jc w:val="center"/>
            </w:pPr>
            <w:r>
              <w:rPr>
                <w:rFonts w:ascii="Times New Roman" w:hAnsi="Times New Roman" w:eastAsia="宋体"/>
                <w:b/>
                <w:sz w:val="18"/>
              </w:rPr>
              <w:t>小号铁钉</w:t>
            </w:r>
          </w:p>
        </w:tc>
        <w:tc>
          <w:tcPr>
            <w:tcW w:type="dxa" w:w="1814"/>
            <w:vAlign w:val="center"/>
            <w:shd w:fill="D9EAF7"/>
          </w:tcPr>
          <w:p>
            <w:pPr>
              <w:jc w:val="center"/>
            </w:pPr>
            <w:r>
              <w:rPr>
                <w:rFonts w:ascii="Times New Roman" w:hAnsi="Times New Roman" w:eastAsia="宋体"/>
                <w:b/>
                <w:sz w:val="18"/>
              </w:rPr>
              <w:t>小号铁夹</w:t>
            </w:r>
          </w:p>
        </w:tc>
        <w:tc>
          <w:tcPr>
            <w:tcW w:type="dxa" w:w="1814"/>
            <w:vAlign w:val="center"/>
            <w:shd w:fill="D9EAF7"/>
          </w:tcPr>
          <w:p>
            <w:pPr>
              <w:jc w:val="center"/>
            </w:pPr>
            <w:r>
              <w:rPr>
                <w:rFonts w:ascii="Times New Roman" w:hAnsi="Times New Roman" w:eastAsia="宋体"/>
                <w:b/>
                <w:sz w:val="18"/>
              </w:rPr>
              <w:t>普通钢筋</w:t>
            </w:r>
          </w:p>
        </w:tc>
        <w:tc>
          <w:tcPr>
            <w:tcW w:type="dxa" w:w="1814"/>
            <w:vAlign w:val="center"/>
            <w:shd w:fill="D9EAF7"/>
          </w:tcPr>
          <w:p>
            <w:pPr>
              <w:jc w:val="center"/>
            </w:pPr>
            <w:r>
              <w:rPr>
                <w:rFonts w:ascii="Times New Roman" w:hAnsi="Times New Roman" w:eastAsia="宋体"/>
                <w:b/>
                <w:sz w:val="18"/>
              </w:rPr>
              <w:t>锈蚀钢筋</w:t>
            </w:r>
          </w:p>
        </w:tc>
      </w:tr>
      <w:tr>
        <w:tc>
          <w:tcPr>
            <w:tcW w:type="dxa" w:w="1814"/>
            <w:vAlign w:val="center"/>
          </w:tcPr>
          <w:p>
            <w:pPr>
              <w:spacing w:after="0"/>
              <w:jc w:val="center"/>
            </w:pPr>
            <w:r>
              <w:rPr>
                <w:rFonts w:ascii="Times New Roman" w:hAnsi="Times New Roman" w:eastAsia="宋体"/>
                <w:sz w:val="18"/>
              </w:rPr>
              <w:t>23</w:t>
            </w:r>
          </w:p>
        </w:tc>
        <w:tc>
          <w:tcPr>
            <w:tcW w:type="dxa" w:w="1814"/>
            <w:vAlign w:val="center"/>
          </w:tcPr>
          <w:p>
            <w:pPr>
              <w:spacing w:after="0"/>
              <w:jc w:val="center"/>
            </w:pPr>
            <w:r>
              <w:rPr>
                <w:rFonts w:ascii="Times New Roman" w:hAnsi="Times New Roman" w:eastAsia="宋体"/>
                <w:sz w:val="18"/>
              </w:rPr>
              <w:t>0.5185</w:t>
            </w:r>
          </w:p>
        </w:tc>
        <w:tc>
          <w:tcPr>
            <w:tcW w:type="dxa" w:w="1814"/>
            <w:vAlign w:val="center"/>
          </w:tcPr>
          <w:p>
            <w:pPr>
              <w:spacing w:after="0"/>
              <w:jc w:val="center"/>
            </w:pPr>
            <w:r>
              <w:rPr>
                <w:rFonts w:ascii="Times New Roman" w:hAnsi="Times New Roman" w:eastAsia="宋体"/>
                <w:sz w:val="18"/>
              </w:rPr>
              <w:t>0.4503</w:t>
            </w:r>
          </w:p>
        </w:tc>
        <w:tc>
          <w:tcPr>
            <w:tcW w:type="dxa" w:w="1814"/>
            <w:vAlign w:val="center"/>
          </w:tcPr>
          <w:p>
            <w:pPr>
              <w:spacing w:after="0"/>
              <w:jc w:val="center"/>
            </w:pPr>
            <w:r>
              <w:rPr>
                <w:rFonts w:ascii="Times New Roman" w:hAnsi="Times New Roman" w:eastAsia="宋体"/>
                <w:sz w:val="18"/>
              </w:rPr>
              <w:t>0.9585</w:t>
            </w:r>
          </w:p>
        </w:tc>
        <w:tc>
          <w:tcPr>
            <w:tcW w:type="dxa" w:w="1814"/>
            <w:vAlign w:val="center"/>
          </w:tcPr>
          <w:p>
            <w:pPr>
              <w:spacing w:after="0"/>
              <w:jc w:val="center"/>
            </w:pPr>
            <w:r>
              <w:rPr>
                <w:rFonts w:ascii="Times New Roman" w:hAnsi="Times New Roman" w:eastAsia="宋体"/>
                <w:sz w:val="18"/>
              </w:rPr>
              <w:t>0.5911</w:t>
            </w:r>
          </w:p>
        </w:tc>
      </w:tr>
      <w:tr>
        <w:tc>
          <w:tcPr>
            <w:tcW w:type="dxa" w:w="1814"/>
            <w:vAlign w:val="center"/>
          </w:tcPr>
          <w:p>
            <w:pPr>
              <w:spacing w:after="0"/>
              <w:jc w:val="center"/>
            </w:pPr>
            <w:r>
              <w:rPr>
                <w:rFonts w:ascii="Times New Roman" w:hAnsi="Times New Roman" w:eastAsia="宋体"/>
                <w:sz w:val="18"/>
              </w:rPr>
              <w:t>24</w:t>
            </w:r>
          </w:p>
        </w:tc>
        <w:tc>
          <w:tcPr>
            <w:tcW w:type="dxa" w:w="1814"/>
            <w:vAlign w:val="center"/>
          </w:tcPr>
          <w:p>
            <w:pPr>
              <w:spacing w:after="0"/>
              <w:jc w:val="center"/>
            </w:pPr>
            <w:r>
              <w:rPr>
                <w:rFonts w:ascii="Times New Roman" w:hAnsi="Times New Roman" w:eastAsia="宋体"/>
                <w:sz w:val="18"/>
              </w:rPr>
              <w:t>0.4831</w:t>
            </w:r>
          </w:p>
        </w:tc>
        <w:tc>
          <w:tcPr>
            <w:tcW w:type="dxa" w:w="1814"/>
            <w:vAlign w:val="center"/>
          </w:tcPr>
          <w:p>
            <w:pPr>
              <w:spacing w:after="0"/>
              <w:jc w:val="center"/>
            </w:pPr>
            <w:r>
              <w:rPr>
                <w:rFonts w:ascii="Times New Roman" w:hAnsi="Times New Roman" w:eastAsia="宋体"/>
                <w:sz w:val="18"/>
              </w:rPr>
              <w:t>0.4177</w:t>
            </w:r>
          </w:p>
        </w:tc>
        <w:tc>
          <w:tcPr>
            <w:tcW w:type="dxa" w:w="1814"/>
            <w:vAlign w:val="center"/>
          </w:tcPr>
          <w:p>
            <w:pPr>
              <w:spacing w:after="0"/>
              <w:jc w:val="center"/>
            </w:pPr>
            <w:r>
              <w:rPr>
                <w:rFonts w:ascii="Times New Roman" w:hAnsi="Times New Roman" w:eastAsia="宋体"/>
                <w:sz w:val="18"/>
              </w:rPr>
              <w:t>0.9064</w:t>
            </w:r>
          </w:p>
        </w:tc>
        <w:tc>
          <w:tcPr>
            <w:tcW w:type="dxa" w:w="1814"/>
            <w:vAlign w:val="center"/>
          </w:tcPr>
          <w:p>
            <w:pPr>
              <w:spacing w:after="0"/>
              <w:jc w:val="center"/>
            </w:pPr>
            <w:r>
              <w:rPr>
                <w:rFonts w:ascii="Times New Roman" w:hAnsi="Times New Roman" w:eastAsia="宋体"/>
                <w:sz w:val="18"/>
              </w:rPr>
              <w:t>0.5425</w:t>
            </w:r>
          </w:p>
        </w:tc>
      </w:tr>
      <w:tr>
        <w:tc>
          <w:tcPr>
            <w:tcW w:type="dxa" w:w="1814"/>
            <w:vAlign w:val="center"/>
          </w:tcPr>
          <w:p>
            <w:pPr>
              <w:spacing w:after="0"/>
              <w:jc w:val="center"/>
            </w:pPr>
            <w:r>
              <w:rPr>
                <w:rFonts w:ascii="Times New Roman" w:hAnsi="Times New Roman" w:eastAsia="宋体"/>
                <w:sz w:val="18"/>
              </w:rPr>
              <w:t>25</w:t>
            </w:r>
          </w:p>
        </w:tc>
        <w:tc>
          <w:tcPr>
            <w:tcW w:type="dxa" w:w="1814"/>
            <w:vAlign w:val="center"/>
          </w:tcPr>
          <w:p>
            <w:pPr>
              <w:spacing w:after="0"/>
              <w:jc w:val="center"/>
            </w:pPr>
            <w:r>
              <w:rPr>
                <w:rFonts w:ascii="Times New Roman" w:hAnsi="Times New Roman" w:eastAsia="宋体"/>
                <w:sz w:val="18"/>
              </w:rPr>
              <w:t>0.4461</w:t>
            </w:r>
          </w:p>
        </w:tc>
        <w:tc>
          <w:tcPr>
            <w:tcW w:type="dxa" w:w="1814"/>
            <w:vAlign w:val="center"/>
          </w:tcPr>
          <w:p>
            <w:pPr>
              <w:spacing w:after="0"/>
              <w:jc w:val="center"/>
            </w:pPr>
            <w:r>
              <w:rPr>
                <w:rFonts w:ascii="Times New Roman" w:hAnsi="Times New Roman" w:eastAsia="宋体"/>
                <w:sz w:val="18"/>
              </w:rPr>
              <w:t>0.3840</w:t>
            </w:r>
          </w:p>
        </w:tc>
        <w:tc>
          <w:tcPr>
            <w:tcW w:type="dxa" w:w="1814"/>
            <w:vAlign w:val="center"/>
          </w:tcPr>
          <w:p>
            <w:pPr>
              <w:spacing w:after="0"/>
              <w:jc w:val="center"/>
            </w:pPr>
            <w:r>
              <w:rPr>
                <w:rFonts w:ascii="Times New Roman" w:hAnsi="Times New Roman" w:eastAsia="宋体"/>
                <w:sz w:val="18"/>
              </w:rPr>
              <w:t>0.8496</w:t>
            </w:r>
          </w:p>
        </w:tc>
        <w:tc>
          <w:tcPr>
            <w:tcW w:type="dxa" w:w="1814"/>
            <w:vAlign w:val="center"/>
          </w:tcPr>
          <w:p>
            <w:pPr>
              <w:spacing w:after="0"/>
              <w:jc w:val="center"/>
            </w:pPr>
            <w:r>
              <w:rPr>
                <w:rFonts w:ascii="Times New Roman" w:hAnsi="Times New Roman" w:eastAsia="宋体"/>
                <w:sz w:val="18"/>
              </w:rPr>
              <w:t>0.4935</w:t>
            </w:r>
          </w:p>
        </w:tc>
      </w:tr>
      <w:tr>
        <w:tc>
          <w:tcPr>
            <w:tcW w:type="dxa" w:w="1814"/>
            <w:vAlign w:val="center"/>
          </w:tcPr>
          <w:p>
            <w:pPr>
              <w:spacing w:after="0"/>
              <w:jc w:val="center"/>
            </w:pPr>
            <w:r>
              <w:rPr>
                <w:rFonts w:ascii="Times New Roman" w:hAnsi="Times New Roman" w:eastAsia="宋体"/>
                <w:sz w:val="18"/>
              </w:rPr>
              <w:t>26</w:t>
            </w:r>
          </w:p>
        </w:tc>
        <w:tc>
          <w:tcPr>
            <w:tcW w:type="dxa" w:w="1814"/>
            <w:vAlign w:val="center"/>
          </w:tcPr>
          <w:p>
            <w:pPr>
              <w:spacing w:after="0"/>
              <w:jc w:val="center"/>
            </w:pPr>
            <w:r>
              <w:rPr>
                <w:rFonts w:ascii="Times New Roman" w:hAnsi="Times New Roman" w:eastAsia="宋体"/>
                <w:sz w:val="18"/>
              </w:rPr>
              <w:t>0.4058</w:t>
            </w:r>
          </w:p>
        </w:tc>
        <w:tc>
          <w:tcPr>
            <w:tcW w:type="dxa" w:w="1814"/>
            <w:vAlign w:val="center"/>
          </w:tcPr>
          <w:p>
            <w:pPr>
              <w:spacing w:after="0"/>
              <w:jc w:val="center"/>
            </w:pPr>
            <w:r>
              <w:rPr>
                <w:rFonts w:ascii="Times New Roman" w:hAnsi="Times New Roman" w:eastAsia="宋体"/>
                <w:sz w:val="18"/>
              </w:rPr>
              <w:t>0.3477</w:t>
            </w:r>
          </w:p>
        </w:tc>
        <w:tc>
          <w:tcPr>
            <w:tcW w:type="dxa" w:w="1814"/>
            <w:vAlign w:val="center"/>
          </w:tcPr>
          <w:p>
            <w:pPr>
              <w:spacing w:after="0"/>
              <w:jc w:val="center"/>
            </w:pPr>
            <w:r>
              <w:rPr>
                <w:rFonts w:ascii="Times New Roman" w:hAnsi="Times New Roman" w:eastAsia="宋体"/>
                <w:sz w:val="18"/>
              </w:rPr>
              <w:t>0.7844</w:t>
            </w:r>
          </w:p>
        </w:tc>
        <w:tc>
          <w:tcPr>
            <w:tcW w:type="dxa" w:w="1814"/>
            <w:vAlign w:val="center"/>
          </w:tcPr>
          <w:p>
            <w:pPr>
              <w:spacing w:after="0"/>
              <w:jc w:val="center"/>
            </w:pPr>
            <w:r>
              <w:rPr>
                <w:rFonts w:ascii="Times New Roman" w:hAnsi="Times New Roman" w:eastAsia="宋体"/>
                <w:sz w:val="18"/>
              </w:rPr>
              <w:t>0.4422</w:t>
            </w:r>
          </w:p>
        </w:tc>
      </w:tr>
      <w:tr>
        <w:tc>
          <w:tcPr>
            <w:tcW w:type="dxa" w:w="1814"/>
            <w:vAlign w:val="center"/>
          </w:tcPr>
          <w:p>
            <w:pPr>
              <w:spacing w:after="0"/>
              <w:jc w:val="center"/>
            </w:pPr>
            <w:r>
              <w:rPr>
                <w:rFonts w:ascii="Times New Roman" w:hAnsi="Times New Roman" w:eastAsia="宋体"/>
                <w:sz w:val="18"/>
              </w:rPr>
              <w:t>27</w:t>
            </w:r>
          </w:p>
        </w:tc>
        <w:tc>
          <w:tcPr>
            <w:tcW w:type="dxa" w:w="1814"/>
            <w:vAlign w:val="center"/>
          </w:tcPr>
          <w:p>
            <w:pPr>
              <w:spacing w:after="0"/>
              <w:jc w:val="center"/>
            </w:pPr>
            <w:r>
              <w:rPr>
                <w:rFonts w:ascii="Times New Roman" w:hAnsi="Times New Roman" w:eastAsia="宋体"/>
                <w:sz w:val="18"/>
              </w:rPr>
              <w:t>0.3807</w:t>
            </w:r>
          </w:p>
        </w:tc>
        <w:tc>
          <w:tcPr>
            <w:tcW w:type="dxa" w:w="1814"/>
            <w:vAlign w:val="center"/>
          </w:tcPr>
          <w:p>
            <w:pPr>
              <w:spacing w:after="0"/>
              <w:jc w:val="center"/>
            </w:pPr>
            <w:r>
              <w:rPr>
                <w:rFonts w:ascii="Times New Roman" w:hAnsi="Times New Roman" w:eastAsia="宋体"/>
                <w:sz w:val="18"/>
              </w:rPr>
              <w:t>0.3248</w:t>
            </w:r>
          </w:p>
        </w:tc>
        <w:tc>
          <w:tcPr>
            <w:tcW w:type="dxa" w:w="1814"/>
            <w:vAlign w:val="center"/>
          </w:tcPr>
          <w:p>
            <w:pPr>
              <w:spacing w:after="0"/>
              <w:jc w:val="center"/>
            </w:pPr>
            <w:r>
              <w:rPr>
                <w:rFonts w:ascii="Times New Roman" w:hAnsi="Times New Roman" w:eastAsia="宋体"/>
                <w:sz w:val="18"/>
              </w:rPr>
              <w:t>0.7469</w:t>
            </w:r>
          </w:p>
        </w:tc>
        <w:tc>
          <w:tcPr>
            <w:tcW w:type="dxa" w:w="1814"/>
            <w:vAlign w:val="center"/>
          </w:tcPr>
          <w:p>
            <w:pPr>
              <w:spacing w:after="0"/>
              <w:jc w:val="center"/>
            </w:pPr>
            <w:r>
              <w:rPr>
                <w:rFonts w:ascii="Times New Roman" w:hAnsi="Times New Roman" w:eastAsia="宋体"/>
                <w:sz w:val="18"/>
              </w:rPr>
              <w:t>0.4086</w:t>
            </w:r>
          </w:p>
        </w:tc>
      </w:tr>
      <w:tr>
        <w:tc>
          <w:tcPr>
            <w:tcW w:type="dxa" w:w="1814"/>
            <w:vAlign w:val="center"/>
          </w:tcPr>
          <w:p>
            <w:pPr>
              <w:spacing w:after="0"/>
              <w:jc w:val="center"/>
            </w:pPr>
            <w:r>
              <w:rPr>
                <w:rFonts w:ascii="Times New Roman" w:hAnsi="Times New Roman" w:eastAsia="宋体"/>
                <w:sz w:val="18"/>
              </w:rPr>
              <w:t>28</w:t>
            </w:r>
          </w:p>
        </w:tc>
        <w:tc>
          <w:tcPr>
            <w:tcW w:type="dxa" w:w="1814"/>
            <w:vAlign w:val="center"/>
          </w:tcPr>
          <w:p>
            <w:pPr>
              <w:spacing w:after="0"/>
              <w:jc w:val="center"/>
            </w:pPr>
            <w:r>
              <w:rPr>
                <w:rFonts w:ascii="Times New Roman" w:hAnsi="Times New Roman" w:eastAsia="宋体"/>
                <w:sz w:val="18"/>
              </w:rPr>
              <w:t>0.3558</w:t>
            </w:r>
          </w:p>
        </w:tc>
        <w:tc>
          <w:tcPr>
            <w:tcW w:type="dxa" w:w="1814"/>
            <w:vAlign w:val="center"/>
          </w:tcPr>
          <w:p>
            <w:pPr>
              <w:spacing w:after="0"/>
              <w:jc w:val="center"/>
            </w:pPr>
            <w:r>
              <w:rPr>
                <w:rFonts w:ascii="Times New Roman" w:hAnsi="Times New Roman" w:eastAsia="宋体"/>
                <w:sz w:val="18"/>
              </w:rPr>
              <w:t>0.3022</w:t>
            </w:r>
          </w:p>
        </w:tc>
        <w:tc>
          <w:tcPr>
            <w:tcW w:type="dxa" w:w="1814"/>
            <w:vAlign w:val="center"/>
          </w:tcPr>
          <w:p>
            <w:pPr>
              <w:spacing w:after="0"/>
              <w:jc w:val="center"/>
            </w:pPr>
            <w:r>
              <w:rPr>
                <w:rFonts w:ascii="Times New Roman" w:hAnsi="Times New Roman" w:eastAsia="宋体"/>
                <w:sz w:val="18"/>
              </w:rPr>
              <w:t>0.7086</w:t>
            </w:r>
          </w:p>
        </w:tc>
        <w:tc>
          <w:tcPr>
            <w:tcW w:type="dxa" w:w="1814"/>
            <w:vAlign w:val="center"/>
          </w:tcPr>
          <w:p>
            <w:pPr>
              <w:spacing w:after="0"/>
              <w:jc w:val="center"/>
            </w:pPr>
            <w:r>
              <w:rPr>
                <w:rFonts w:ascii="Times New Roman" w:hAnsi="Times New Roman" w:eastAsia="宋体"/>
                <w:sz w:val="18"/>
              </w:rPr>
              <w:t>0.3762</w:t>
            </w:r>
          </w:p>
        </w:tc>
      </w:tr>
      <w:tr>
        <w:tc>
          <w:tcPr>
            <w:tcW w:type="dxa" w:w="1814"/>
            <w:vAlign w:val="center"/>
          </w:tcPr>
          <w:p>
            <w:pPr>
              <w:spacing w:after="0"/>
              <w:jc w:val="center"/>
            </w:pPr>
            <w:r>
              <w:rPr>
                <w:rFonts w:ascii="Times New Roman" w:hAnsi="Times New Roman" w:eastAsia="宋体"/>
                <w:sz w:val="18"/>
              </w:rPr>
              <w:t>29</w:t>
            </w:r>
          </w:p>
        </w:tc>
        <w:tc>
          <w:tcPr>
            <w:tcW w:type="dxa" w:w="1814"/>
            <w:vAlign w:val="center"/>
          </w:tcPr>
          <w:p>
            <w:pPr>
              <w:spacing w:after="0"/>
              <w:jc w:val="center"/>
            </w:pPr>
            <w:r>
              <w:rPr>
                <w:rFonts w:ascii="Times New Roman" w:hAnsi="Times New Roman" w:eastAsia="宋体"/>
                <w:sz w:val="18"/>
              </w:rPr>
              <w:t>0.3230</w:t>
            </w:r>
          </w:p>
        </w:tc>
        <w:tc>
          <w:tcPr>
            <w:tcW w:type="dxa" w:w="1814"/>
            <w:vAlign w:val="center"/>
          </w:tcPr>
          <w:p>
            <w:pPr>
              <w:spacing w:after="0"/>
              <w:jc w:val="center"/>
            </w:pPr>
            <w:r>
              <w:rPr>
                <w:rFonts w:ascii="Times New Roman" w:hAnsi="Times New Roman" w:eastAsia="宋体"/>
                <w:sz w:val="18"/>
              </w:rPr>
              <w:t>0.2731</w:t>
            </w:r>
          </w:p>
        </w:tc>
        <w:tc>
          <w:tcPr>
            <w:tcW w:type="dxa" w:w="1814"/>
            <w:vAlign w:val="center"/>
          </w:tcPr>
          <w:p>
            <w:pPr>
              <w:spacing w:after="0"/>
              <w:jc w:val="center"/>
            </w:pPr>
            <w:r>
              <w:rPr>
                <w:rFonts w:ascii="Times New Roman" w:hAnsi="Times New Roman" w:eastAsia="宋体"/>
                <w:sz w:val="18"/>
              </w:rPr>
              <w:t>0.6528</w:t>
            </w:r>
          </w:p>
        </w:tc>
        <w:tc>
          <w:tcPr>
            <w:tcW w:type="dxa" w:w="1814"/>
            <w:vAlign w:val="center"/>
          </w:tcPr>
          <w:p>
            <w:pPr>
              <w:spacing w:after="0"/>
              <w:jc w:val="center"/>
            </w:pPr>
            <w:r>
              <w:rPr>
                <w:rFonts w:ascii="Times New Roman" w:hAnsi="Times New Roman" w:eastAsia="宋体"/>
                <w:sz w:val="18"/>
              </w:rPr>
              <w:t>0.3364</w:t>
            </w:r>
          </w:p>
        </w:tc>
      </w:tr>
    </w:tbl>
    <w:p>
      <w:pPr>
        <w:pStyle w:val="Heading3"/>
        <w:keepNext/>
      </w:pPr>
      <w:r>
        <w:rPr>
          <w:rFonts w:ascii="Times New Roman" w:hAnsi="Times New Roman" w:eastAsia="宋体"/>
          <w:b/>
        </w:rPr>
        <w:t>6.1.5 问题一结果分析</w:t>
      </w:r>
    </w:p>
    <w:p>
      <w:pPr>
        <w:spacing w:line="360" w:lineRule="auto" w:after="0"/>
        <w:ind w:firstLine="480"/>
        <w:jc w:val="both"/>
      </w:pPr>
      <w:r>
        <w:rPr>
          <w:rFonts w:ascii="Times New Roman" w:hAnsi="Times New Roman" w:eastAsia="宋体"/>
        </w:rPr>
        <w:t>预测结果呈现稳定下降趋势，其中锈蚀钢筋和小尺寸铁件在后期的剩磁下降更明显。该结果与原始衰减曲线和归一化保留率曲线一致，说明用个体初值锚定后再预测保留率，比直接拟合原始剩磁更适合处理不同初值样品的共同衰减规律。</w:t>
      </w:r>
    </w:p>
    <w:p>
      <w:pPr>
        <w:pStyle w:val="Heading2"/>
        <w:keepNext/>
      </w:pPr>
      <w:r>
        <w:rPr>
          <w:rFonts w:ascii="Times New Roman" w:hAnsi="Times New Roman" w:eastAsia="黑体"/>
          <w:b/>
        </w:rPr>
        <w:t>6.2 问题二：关键影响因素分析</w:t>
      </w:r>
    </w:p>
    <w:p>
      <w:pPr>
        <w:pStyle w:val="Heading3"/>
        <w:keepNext/>
      </w:pPr>
      <w:r>
        <w:rPr>
          <w:rFonts w:ascii="Times New Roman" w:hAnsi="Times New Roman" w:eastAsia="宋体"/>
          <w:b/>
        </w:rPr>
        <w:t>6.2.1 主效应与交互效应模型</w:t>
      </w:r>
    </w:p>
    <w:p>
      <w:pPr>
        <w:spacing w:line="360" w:lineRule="auto" w:after="0"/>
        <w:ind w:firstLine="480"/>
        <w:jc w:val="both"/>
      </w:pPr>
      <w:r>
        <w:rPr>
          <w:rFonts w:ascii="Times New Roman" w:hAnsi="Times New Roman" w:eastAsia="宋体"/>
        </w:rPr>
        <w:t>问题二的目标是解释剩磁衰减的关键因素，而不仅是提高预测精度。本文在问题一模型基础上保留时间、环境和样品类型变量，并重点考察温度与湿度的协同效应、时间与锈蚀的累积效应，以及不同样品类型对相同环境条件的响应差异。</w:t>
      </w:r>
    </w:p>
    <w:p>
      <w:pPr>
        <w:spacing w:before="80" w:after="80"/>
        <w:jc w:val="center"/>
      </w:pPr>
      <w:r>
        <w:rPr>
          <w:rFonts w:ascii="Times New Roman" w:hAnsi="Times New Roman" w:eastAsia="宋体"/>
          <w:i/>
        </w:rPr>
        <w:t>Y_{i,s}(t)=mu+f(t)+beta A_T(t)+gamma A_H(t)+delta A_TH(t)+alpha_s+rho_s t+epsilon_{i,s,t}</w:t>
      </w:r>
    </w:p>
    <w:p>
      <w:pPr>
        <w:spacing w:line="360" w:lineRule="auto" w:after="0"/>
        <w:ind w:firstLine="480"/>
        <w:jc w:val="both"/>
      </w:pPr>
      <w:r>
        <w:rPr>
          <w:rFonts w:ascii="Times New Roman" w:hAnsi="Times New Roman" w:eastAsia="宋体"/>
        </w:rPr>
        <w:t>其中 f(t) 包含时间主效应和时间二次项，alpha_s 表示样品类型主效应，rho_s t 表示类型-时间交互项。该模型的核心是把主效应和交互效应放在同一框架下比较，避免把单因素结果误读为独立因果。</w:t>
      </w:r>
    </w:p>
    <w:p>
      <w:pPr>
        <w:pStyle w:val="Heading3"/>
        <w:keepNext/>
      </w:pPr>
      <w:r>
        <w:rPr>
          <w:rFonts w:ascii="Times New Roman" w:hAnsi="Times New Roman" w:eastAsia="宋体"/>
          <w:b/>
        </w:rPr>
        <w:t>6.2.2 时间因素与非线性衰减分析</w:t>
      </w:r>
    </w:p>
    <w:p>
      <w:pPr>
        <w:spacing w:line="360" w:lineRule="auto" w:after="0"/>
        <w:ind w:firstLine="480"/>
        <w:jc w:val="both"/>
      </w:pPr>
      <w:r>
        <w:rPr>
          <w:rFonts w:ascii="Times New Roman" w:hAnsi="Times New Roman" w:eastAsia="宋体"/>
        </w:rPr>
        <w:t>旧草稿中的结果表明，时间主效应和时间二次项均显著，说明剩磁衰减随时间推进而增强，且并非简单线性下降。时间项是整个模型中最基础的解释变量，后续动态阈值和反推初值也都依赖这一衰减趋势。</w:t>
      </w:r>
    </w:p>
    <w:p>
      <w:pPr>
        <w:pStyle w:val="Heading3"/>
        <w:keepNext/>
      </w:pPr>
      <w:r>
        <w:rPr>
          <w:rFonts w:ascii="Times New Roman" w:hAnsi="Times New Roman" w:eastAsia="宋体"/>
          <w:b/>
        </w:rPr>
        <w:t>6.2.3 温度、湿度及温湿耦合效应分析</w:t>
      </w:r>
    </w:p>
    <w:p>
      <w:pPr>
        <w:spacing w:line="360" w:lineRule="auto" w:after="0"/>
        <w:ind w:firstLine="480"/>
        <w:jc w:val="both"/>
      </w:pPr>
      <w:r>
        <w:rPr>
          <w:rFonts w:ascii="Times New Roman" w:hAnsi="Times New Roman" w:eastAsia="宋体"/>
        </w:rPr>
        <w:t>环境变量方面，累计湿度主效应和温湿交互项表现为正向贡献，说明潮湿环境及高温高湿共同出现时会提高剩磁衰减程度。累计温度在控制时间趋势后的方向可能为负，提示温度效应不能脱离时间和湿度单独解释。正文中应强调共同模型下的相对作用，而不是简单写成“温度越高衰减越快”。</w:t>
      </w:r>
    </w:p>
    <w:p>
      <w:pPr>
        <w:spacing w:before="120"/>
        <w:jc w:val="center"/>
      </w:pPr>
      <w:r>
        <w:drawing>
          <wp:inline xmlns:a="http://schemas.openxmlformats.org/drawingml/2006/main" xmlns:pic="http://schemas.openxmlformats.org/drawingml/2006/picture">
            <wp:extent cx="5328000" cy="3788914"/>
            <wp:docPr id="4" name="Picture 4"/>
            <wp:cNvGraphicFramePr>
              <a:graphicFrameLocks noChangeAspect="1"/>
            </wp:cNvGraphicFramePr>
            <a:graphic>
              <a:graphicData uri="http://schemas.openxmlformats.org/drawingml/2006/picture">
                <pic:pic>
                  <pic:nvPicPr>
                    <pic:cNvPr id="0" name="fig4_problem2_coefficients_science.png"/>
                    <pic:cNvPicPr/>
                  </pic:nvPicPr>
                  <pic:blipFill>
                    <a:blip r:embed="rId12"/>
                    <a:stretch>
                      <a:fillRect/>
                    </a:stretch>
                  </pic:blipFill>
                  <pic:spPr>
                    <a:xfrm>
                      <a:off x="0" y="0"/>
                      <a:ext cx="5328000" cy="3788914"/>
                    </a:xfrm>
                    <a:prstGeom prst="rect"/>
                  </pic:spPr>
                </pic:pic>
              </a:graphicData>
            </a:graphic>
          </wp:inline>
        </w:drawing>
      </w:r>
    </w:p>
    <w:p>
      <w:pPr>
        <w:spacing w:before="40" w:after="120"/>
        <w:jc w:val="center"/>
      </w:pPr>
      <w:r>
        <w:rPr>
          <w:rFonts w:ascii="Times New Roman" w:hAnsi="Times New Roman" w:eastAsia="宋体"/>
          <w:sz w:val="21"/>
        </w:rPr>
        <w:t>图4 主效应与交互效应系数图</w:t>
      </w:r>
    </w:p>
    <w:p>
      <w:pPr>
        <w:pStyle w:val="Heading3"/>
        <w:keepNext/>
      </w:pPr>
      <w:r>
        <w:rPr>
          <w:rFonts w:ascii="Times New Roman" w:hAnsi="Times New Roman" w:eastAsia="宋体"/>
          <w:b/>
        </w:rPr>
        <w:t>6.2.4 样品类型与锈蚀效应分析</w:t>
      </w:r>
    </w:p>
    <w:p>
      <w:pPr>
        <w:spacing w:line="360" w:lineRule="auto" w:after="0"/>
        <w:ind w:firstLine="480"/>
        <w:jc w:val="both"/>
      </w:pPr>
      <w:r>
        <w:rPr>
          <w:rFonts w:ascii="Times New Roman" w:hAnsi="Times New Roman" w:eastAsia="宋体"/>
        </w:rPr>
        <w:t>锈蚀钢筋主效应显著为正，且锈蚀钢筋与时间的交互项系数约为0.778232，说明锈蚀状态不仅改变初始衰减水平，也会放大长延迟检测下的衰减风险。小号铁钉、小号铁夹和普通钢筋则主要通过形状、尺寸和材料差异体现出不同的保留率轨迹。</w:t>
      </w:r>
    </w:p>
    <w:p>
      <w:pPr>
        <w:pStyle w:val="Heading3"/>
        <w:keepNext/>
      </w:pPr>
      <w:r>
        <w:rPr>
          <w:rFonts w:ascii="Times New Roman" w:hAnsi="Times New Roman" w:eastAsia="宋体"/>
          <w:b/>
        </w:rPr>
        <w:t>6.2.5 消融实验与稳健性比较</w:t>
      </w:r>
    </w:p>
    <w:p>
      <w:pPr>
        <w:spacing w:line="360" w:lineRule="auto" w:after="0"/>
        <w:ind w:firstLine="480"/>
        <w:jc w:val="both"/>
      </w:pPr>
      <w:r>
        <w:rPr>
          <w:rFonts w:ascii="Times New Roman" w:hAnsi="Times New Roman" w:eastAsia="宋体"/>
        </w:rPr>
        <w:t>为检验交互项设计是否必要，本文比较无交互、对称交互和门槛交互三类模型。消融结果显示，门槛交互模型在对数尺度上 RMSE 最低，说明只在高温高湿同时超过门槛时累积交互暴露更符合本题的数据结构。</w:t>
      </w:r>
    </w:p>
    <w:p>
      <w:pPr>
        <w:spacing w:before="120" w:after="60"/>
        <w:jc w:val="center"/>
      </w:pPr>
      <w:r>
        <w:rPr>
          <w:rFonts w:ascii="Times New Roman" w:hAnsi="Times New Roman" w:eastAsia="宋体"/>
          <w:b/>
          <w:sz w:val="21"/>
        </w:rPr>
        <w:t>表2 问题二模型消融对比</w:t>
      </w:r>
    </w:p>
    <w:tbl>
      <w:tblPr>
        <w:tblStyle w:val="TableGrid"/>
        <w:tblW w:type="auto" w:w="0"/>
        <w:tblLayout w:type="autofit"/>
        <w:tblLook w:firstColumn="1" w:firstRow="1" w:lastColumn="0" w:lastRow="0" w:noHBand="0" w:noVBand="1" w:val="04A0"/>
      </w:tblPr>
      <w:tblGrid>
        <w:gridCol w:w="1512"/>
        <w:gridCol w:w="1512"/>
        <w:gridCol w:w="1512"/>
        <w:gridCol w:w="1512"/>
        <w:gridCol w:w="1512"/>
        <w:gridCol w:w="1512"/>
      </w:tblGrid>
      <w:tr>
        <w:tc>
          <w:tcPr>
            <w:tcW w:type="dxa" w:w="1512"/>
            <w:vAlign w:val="center"/>
            <w:shd w:fill="D9EAF7"/>
          </w:tcPr>
          <w:p>
            <w:pPr>
              <w:jc w:val="center"/>
            </w:pPr>
            <w:r>
              <w:rPr>
                <w:rFonts w:ascii="Times New Roman" w:hAnsi="Times New Roman" w:eastAsia="宋体"/>
                <w:b/>
                <w:sz w:val="17"/>
              </w:rPr>
              <w:t>模型版本</w:t>
            </w:r>
          </w:p>
        </w:tc>
        <w:tc>
          <w:tcPr>
            <w:tcW w:type="dxa" w:w="1512"/>
            <w:vAlign w:val="center"/>
            <w:shd w:fill="D9EAF7"/>
          </w:tcPr>
          <w:p>
            <w:pPr>
              <w:jc w:val="center"/>
            </w:pPr>
            <w:r>
              <w:rPr>
                <w:rFonts w:ascii="Times New Roman" w:hAnsi="Times New Roman" w:eastAsia="宋体"/>
                <w:b/>
                <w:sz w:val="17"/>
              </w:rPr>
              <w:t>R2_log</w:t>
            </w:r>
          </w:p>
        </w:tc>
        <w:tc>
          <w:tcPr>
            <w:tcW w:type="dxa" w:w="1512"/>
            <w:vAlign w:val="center"/>
            <w:shd w:fill="D9EAF7"/>
          </w:tcPr>
          <w:p>
            <w:pPr>
              <w:jc w:val="center"/>
            </w:pPr>
            <w:r>
              <w:rPr>
                <w:rFonts w:ascii="Times New Roman" w:hAnsi="Times New Roman" w:eastAsia="宋体"/>
                <w:b/>
                <w:sz w:val="17"/>
              </w:rPr>
              <w:t>RMSE_log</w:t>
            </w:r>
          </w:p>
        </w:tc>
        <w:tc>
          <w:tcPr>
            <w:tcW w:type="dxa" w:w="1512"/>
            <w:vAlign w:val="center"/>
            <w:shd w:fill="D9EAF7"/>
          </w:tcPr>
          <w:p>
            <w:pPr>
              <w:jc w:val="center"/>
            </w:pPr>
            <w:r>
              <w:rPr>
                <w:rFonts w:ascii="Times New Roman" w:hAnsi="Times New Roman" w:eastAsia="宋体"/>
                <w:b/>
                <w:sz w:val="17"/>
              </w:rPr>
              <w:t>RMSE_m</w:t>
            </w:r>
          </w:p>
        </w:tc>
        <w:tc>
          <w:tcPr>
            <w:tcW w:type="dxa" w:w="1512"/>
            <w:vAlign w:val="center"/>
            <w:shd w:fill="D9EAF7"/>
          </w:tcPr>
          <w:p>
            <w:pPr>
              <w:jc w:val="center"/>
            </w:pPr>
            <w:r>
              <w:rPr>
                <w:rFonts w:ascii="Times New Roman" w:hAnsi="Times New Roman" w:eastAsia="宋体"/>
                <w:b/>
                <w:sz w:val="17"/>
              </w:rPr>
              <w:t>MAE_m</w:t>
            </w:r>
          </w:p>
        </w:tc>
        <w:tc>
          <w:tcPr>
            <w:tcW w:type="dxa" w:w="1512"/>
            <w:vAlign w:val="center"/>
            <w:shd w:fill="D9EAF7"/>
          </w:tcPr>
          <w:p>
            <w:pPr>
              <w:jc w:val="center"/>
            </w:pPr>
            <w:r>
              <w:rPr>
                <w:rFonts w:ascii="Times New Roman" w:hAnsi="Times New Roman" w:eastAsia="宋体"/>
                <w:b/>
                <w:sz w:val="17"/>
              </w:rPr>
              <w:t>MAPE_m</w:t>
            </w:r>
          </w:p>
        </w:tc>
      </w:tr>
      <w:tr>
        <w:tc>
          <w:tcPr>
            <w:tcW w:type="dxa" w:w="1512"/>
            <w:vAlign w:val="center"/>
          </w:tcPr>
          <w:p>
            <w:pPr>
              <w:spacing w:after="0"/>
              <w:jc w:val="center"/>
            </w:pPr>
            <w:r>
              <w:rPr>
                <w:rFonts w:ascii="Times New Roman" w:hAnsi="Times New Roman" w:eastAsia="宋体"/>
                <w:sz w:val="17"/>
              </w:rPr>
              <w:t>无交互</w:t>
            </w:r>
          </w:p>
        </w:tc>
        <w:tc>
          <w:tcPr>
            <w:tcW w:type="dxa" w:w="1512"/>
            <w:vAlign w:val="center"/>
          </w:tcPr>
          <w:p>
            <w:pPr>
              <w:spacing w:after="0"/>
              <w:jc w:val="center"/>
            </w:pPr>
            <w:r>
              <w:rPr>
                <w:rFonts w:ascii="Times New Roman" w:hAnsi="Times New Roman" w:eastAsia="宋体"/>
                <w:sz w:val="17"/>
              </w:rPr>
              <w:t>0.999379</w:t>
            </w:r>
          </w:p>
        </w:tc>
        <w:tc>
          <w:tcPr>
            <w:tcW w:type="dxa" w:w="1512"/>
            <w:vAlign w:val="center"/>
          </w:tcPr>
          <w:p>
            <w:pPr>
              <w:spacing w:after="0"/>
              <w:jc w:val="center"/>
            </w:pPr>
            <w:r>
              <w:rPr>
                <w:rFonts w:ascii="Times New Roman" w:hAnsi="Times New Roman" w:eastAsia="宋体"/>
                <w:sz w:val="17"/>
              </w:rPr>
              <w:t>0.044803</w:t>
            </w:r>
          </w:p>
        </w:tc>
        <w:tc>
          <w:tcPr>
            <w:tcW w:type="dxa" w:w="1512"/>
            <w:vAlign w:val="center"/>
          </w:tcPr>
          <w:p>
            <w:pPr>
              <w:spacing w:after="0"/>
              <w:jc w:val="center"/>
            </w:pPr>
            <w:r>
              <w:rPr>
                <w:rFonts w:ascii="Times New Roman" w:hAnsi="Times New Roman" w:eastAsia="宋体"/>
                <w:sz w:val="17"/>
              </w:rPr>
              <w:t>0.049519</w:t>
            </w:r>
          </w:p>
        </w:tc>
        <w:tc>
          <w:tcPr>
            <w:tcW w:type="dxa" w:w="1512"/>
            <w:vAlign w:val="center"/>
          </w:tcPr>
          <w:p>
            <w:pPr>
              <w:spacing w:after="0"/>
              <w:jc w:val="center"/>
            </w:pPr>
            <w:r>
              <w:rPr>
                <w:rFonts w:ascii="Times New Roman" w:hAnsi="Times New Roman" w:eastAsia="宋体"/>
                <w:sz w:val="17"/>
              </w:rPr>
              <w:t>0.035940</w:t>
            </w:r>
          </w:p>
        </w:tc>
        <w:tc>
          <w:tcPr>
            <w:tcW w:type="dxa" w:w="1512"/>
            <w:vAlign w:val="center"/>
          </w:tcPr>
          <w:p>
            <w:pPr>
              <w:spacing w:after="0"/>
              <w:jc w:val="center"/>
            </w:pPr>
            <w:r>
              <w:rPr>
                <w:rFonts w:ascii="Times New Roman" w:hAnsi="Times New Roman" w:eastAsia="宋体"/>
                <w:sz w:val="17"/>
              </w:rPr>
              <w:t>0.036949</w:t>
            </w:r>
          </w:p>
        </w:tc>
      </w:tr>
      <w:tr>
        <w:tc>
          <w:tcPr>
            <w:tcW w:type="dxa" w:w="1512"/>
            <w:vAlign w:val="center"/>
          </w:tcPr>
          <w:p>
            <w:pPr>
              <w:spacing w:after="0"/>
              <w:jc w:val="center"/>
            </w:pPr>
            <w:r>
              <w:rPr>
                <w:rFonts w:ascii="Times New Roman" w:hAnsi="Times New Roman" w:eastAsia="宋体"/>
                <w:sz w:val="17"/>
              </w:rPr>
              <w:t>对称交互</w:t>
            </w:r>
          </w:p>
        </w:tc>
        <w:tc>
          <w:tcPr>
            <w:tcW w:type="dxa" w:w="1512"/>
            <w:vAlign w:val="center"/>
          </w:tcPr>
          <w:p>
            <w:pPr>
              <w:spacing w:after="0"/>
              <w:jc w:val="center"/>
            </w:pPr>
            <w:r>
              <w:rPr>
                <w:rFonts w:ascii="Times New Roman" w:hAnsi="Times New Roman" w:eastAsia="宋体"/>
                <w:sz w:val="17"/>
              </w:rPr>
              <w:t>0.999409</w:t>
            </w:r>
          </w:p>
        </w:tc>
        <w:tc>
          <w:tcPr>
            <w:tcW w:type="dxa" w:w="1512"/>
            <w:vAlign w:val="center"/>
          </w:tcPr>
          <w:p>
            <w:pPr>
              <w:spacing w:after="0"/>
              <w:jc w:val="center"/>
            </w:pPr>
            <w:r>
              <w:rPr>
                <w:rFonts w:ascii="Times New Roman" w:hAnsi="Times New Roman" w:eastAsia="宋体"/>
                <w:sz w:val="17"/>
              </w:rPr>
              <w:t>0.043721</w:t>
            </w:r>
          </w:p>
        </w:tc>
        <w:tc>
          <w:tcPr>
            <w:tcW w:type="dxa" w:w="1512"/>
            <w:vAlign w:val="center"/>
          </w:tcPr>
          <w:p>
            <w:pPr>
              <w:spacing w:after="0"/>
              <w:jc w:val="center"/>
            </w:pPr>
            <w:r>
              <w:rPr>
                <w:rFonts w:ascii="Times New Roman" w:hAnsi="Times New Roman" w:eastAsia="宋体"/>
                <w:sz w:val="17"/>
              </w:rPr>
              <w:t>0.050741</w:t>
            </w:r>
          </w:p>
        </w:tc>
        <w:tc>
          <w:tcPr>
            <w:tcW w:type="dxa" w:w="1512"/>
            <w:vAlign w:val="center"/>
          </w:tcPr>
          <w:p>
            <w:pPr>
              <w:spacing w:after="0"/>
              <w:jc w:val="center"/>
            </w:pPr>
            <w:r>
              <w:rPr>
                <w:rFonts w:ascii="Times New Roman" w:hAnsi="Times New Roman" w:eastAsia="宋体"/>
                <w:sz w:val="17"/>
              </w:rPr>
              <w:t>0.035562</w:t>
            </w:r>
          </w:p>
        </w:tc>
        <w:tc>
          <w:tcPr>
            <w:tcW w:type="dxa" w:w="1512"/>
            <w:vAlign w:val="center"/>
          </w:tcPr>
          <w:p>
            <w:pPr>
              <w:spacing w:after="0"/>
              <w:jc w:val="center"/>
            </w:pPr>
            <w:r>
              <w:rPr>
                <w:rFonts w:ascii="Times New Roman" w:hAnsi="Times New Roman" w:eastAsia="宋体"/>
                <w:sz w:val="17"/>
              </w:rPr>
              <w:t>0.036074</w:t>
            </w:r>
          </w:p>
        </w:tc>
      </w:tr>
      <w:tr>
        <w:tc>
          <w:tcPr>
            <w:tcW w:type="dxa" w:w="1512"/>
            <w:vAlign w:val="center"/>
          </w:tcPr>
          <w:p>
            <w:pPr>
              <w:spacing w:after="0"/>
              <w:jc w:val="center"/>
            </w:pPr>
            <w:r>
              <w:rPr>
                <w:rFonts w:ascii="Times New Roman" w:hAnsi="Times New Roman" w:eastAsia="宋体"/>
                <w:sz w:val="17"/>
              </w:rPr>
              <w:t>门槛交互</w:t>
            </w:r>
          </w:p>
        </w:tc>
        <w:tc>
          <w:tcPr>
            <w:tcW w:type="dxa" w:w="1512"/>
            <w:vAlign w:val="center"/>
          </w:tcPr>
          <w:p>
            <w:pPr>
              <w:spacing w:after="0"/>
              <w:jc w:val="center"/>
            </w:pPr>
            <w:r>
              <w:rPr>
                <w:rFonts w:ascii="Times New Roman" w:hAnsi="Times New Roman" w:eastAsia="宋体"/>
                <w:sz w:val="17"/>
              </w:rPr>
              <w:t>0.999444</w:t>
            </w:r>
          </w:p>
        </w:tc>
        <w:tc>
          <w:tcPr>
            <w:tcW w:type="dxa" w:w="1512"/>
            <w:vAlign w:val="center"/>
          </w:tcPr>
          <w:p>
            <w:pPr>
              <w:spacing w:after="0"/>
              <w:jc w:val="center"/>
            </w:pPr>
            <w:r>
              <w:rPr>
                <w:rFonts w:ascii="Times New Roman" w:hAnsi="Times New Roman" w:eastAsia="宋体"/>
                <w:sz w:val="17"/>
              </w:rPr>
              <w:t>0.042398</w:t>
            </w:r>
          </w:p>
        </w:tc>
        <w:tc>
          <w:tcPr>
            <w:tcW w:type="dxa" w:w="1512"/>
            <w:vAlign w:val="center"/>
          </w:tcPr>
          <w:p>
            <w:pPr>
              <w:spacing w:after="0"/>
              <w:jc w:val="center"/>
            </w:pPr>
            <w:r>
              <w:rPr>
                <w:rFonts w:ascii="Times New Roman" w:hAnsi="Times New Roman" w:eastAsia="宋体"/>
                <w:sz w:val="17"/>
              </w:rPr>
              <w:t>0.051251</w:t>
            </w:r>
          </w:p>
        </w:tc>
        <w:tc>
          <w:tcPr>
            <w:tcW w:type="dxa" w:w="1512"/>
            <w:vAlign w:val="center"/>
          </w:tcPr>
          <w:p>
            <w:pPr>
              <w:spacing w:after="0"/>
              <w:jc w:val="center"/>
            </w:pPr>
            <w:r>
              <w:rPr>
                <w:rFonts w:ascii="Times New Roman" w:hAnsi="Times New Roman" w:eastAsia="宋体"/>
                <w:sz w:val="17"/>
              </w:rPr>
              <w:t>0.036867</w:t>
            </w:r>
          </w:p>
        </w:tc>
        <w:tc>
          <w:tcPr>
            <w:tcW w:type="dxa" w:w="1512"/>
            <w:vAlign w:val="center"/>
          </w:tcPr>
          <w:p>
            <w:pPr>
              <w:spacing w:after="0"/>
              <w:jc w:val="center"/>
            </w:pPr>
            <w:r>
              <w:rPr>
                <w:rFonts w:ascii="Times New Roman" w:hAnsi="Times New Roman" w:eastAsia="宋体"/>
                <w:sz w:val="17"/>
              </w:rPr>
              <w:t>0.035107</w:t>
            </w:r>
          </w:p>
        </w:tc>
      </w:tr>
    </w:tbl>
    <w:p>
      <w:pPr>
        <w:spacing w:before="120"/>
        <w:jc w:val="center"/>
      </w:pPr>
      <w:r>
        <w:drawing>
          <wp:inline xmlns:a="http://schemas.openxmlformats.org/drawingml/2006/main" xmlns:pic="http://schemas.openxmlformats.org/drawingml/2006/picture">
            <wp:extent cx="5328000" cy="3587851"/>
            <wp:docPr id="5" name="Picture 5"/>
            <wp:cNvGraphicFramePr>
              <a:graphicFrameLocks noChangeAspect="1"/>
            </wp:cNvGraphicFramePr>
            <a:graphic>
              <a:graphicData uri="http://schemas.openxmlformats.org/drawingml/2006/picture">
                <pic:pic>
                  <pic:nvPicPr>
                    <pic:cNvPr id="0" name="fig5_problem2_ablation_science.png"/>
                    <pic:cNvPicPr/>
                  </pic:nvPicPr>
                  <pic:blipFill>
                    <a:blip r:embed="rId13"/>
                    <a:stretch>
                      <a:fillRect/>
                    </a:stretch>
                  </pic:blipFill>
                  <pic:spPr>
                    <a:xfrm>
                      <a:off x="0" y="0"/>
                      <a:ext cx="5328000" cy="3587851"/>
                    </a:xfrm>
                    <a:prstGeom prst="rect"/>
                  </pic:spPr>
                </pic:pic>
              </a:graphicData>
            </a:graphic>
          </wp:inline>
        </w:drawing>
      </w:r>
    </w:p>
    <w:p>
      <w:pPr>
        <w:spacing w:before="40" w:after="120"/>
        <w:jc w:val="center"/>
      </w:pPr>
      <w:r>
        <w:rPr>
          <w:rFonts w:ascii="Times New Roman" w:hAnsi="Times New Roman" w:eastAsia="宋体"/>
          <w:sz w:val="21"/>
        </w:rPr>
        <w:t>图5 消融实验对比</w:t>
      </w:r>
    </w:p>
    <w:p>
      <w:pPr>
        <w:pStyle w:val="Heading2"/>
        <w:keepNext/>
      </w:pPr>
      <w:r>
        <w:rPr>
          <w:rFonts w:ascii="Times New Roman" w:hAnsi="Times New Roman" w:eastAsia="黑体"/>
          <w:b/>
        </w:rPr>
        <w:t>6.3 问题三：动态阈值修正模型</w:t>
      </w:r>
    </w:p>
    <w:p>
      <w:pPr>
        <w:pStyle w:val="Heading3"/>
        <w:keepNext/>
      </w:pPr>
      <w:r>
        <w:rPr>
          <w:rFonts w:ascii="Times New Roman" w:hAnsi="Times New Roman" w:eastAsia="宋体"/>
          <w:b/>
        </w:rPr>
        <w:t>6.3.1 静态阈值与检测延迟偏差</w:t>
      </w:r>
    </w:p>
    <w:p>
      <w:pPr>
        <w:spacing w:line="360" w:lineRule="auto" w:after="0"/>
        <w:ind w:firstLine="480"/>
        <w:jc w:val="both"/>
      </w:pPr>
      <w:r>
        <w:rPr>
          <w:rFonts w:ascii="Times New Roman" w:hAnsi="Times New Roman" w:eastAsia="宋体"/>
        </w:rPr>
        <w:t>国标 GB/T 44953-2024 给出的小尺寸铁件阈值为1.0 mT，大尺寸铁件阈值为1.5 mT。该静态阈值适用于近即时检测，但在雷击发生数天甚至数十天后，剩磁已经发生衰减，若仍直接使用静态阈值，容易把已经衰减的雷击样品误判为未遭雷击。</w:t>
      </w:r>
    </w:p>
    <w:p>
      <w:pPr>
        <w:pStyle w:val="Heading3"/>
        <w:keepNext/>
      </w:pPr>
      <w:r>
        <w:rPr>
          <w:rFonts w:ascii="Times New Roman" w:hAnsi="Times New Roman" w:eastAsia="宋体"/>
          <w:b/>
        </w:rPr>
        <w:t>6.3.2 保留率驱动的动态阈值映射</w:t>
      </w:r>
    </w:p>
    <w:p>
      <w:pPr>
        <w:spacing w:line="360" w:lineRule="auto" w:after="0"/>
        <w:ind w:firstLine="480"/>
        <w:jc w:val="both"/>
      </w:pPr>
      <w:r>
        <w:rPr>
          <w:rFonts w:ascii="Times New Roman" w:hAnsi="Times New Roman" w:eastAsia="宋体"/>
        </w:rPr>
        <w:t>本文不改变国标阈值本身，而是用问题一得到的保留率函数将静态阈值映射到实际检测时点。对第 s 类样品，第 t 天动态阈值定义为</w:t>
      </w:r>
    </w:p>
    <w:p>
      <w:pPr>
        <w:spacing w:before="80" w:after="80"/>
        <w:jc w:val="center"/>
      </w:pPr>
      <w:r>
        <w:rPr>
          <w:rFonts w:ascii="Times New Roman" w:hAnsi="Times New Roman" w:eastAsia="宋体"/>
          <w:i/>
        </w:rPr>
        <w:t>Theta_s(t)=Theta_s^{GB}R_s(t)</w:t>
      </w:r>
    </w:p>
    <w:p>
      <w:pPr>
        <w:spacing w:line="360" w:lineRule="auto" w:after="0"/>
        <w:ind w:firstLine="480"/>
        <w:jc w:val="both"/>
      </w:pPr>
      <w:r>
        <w:rPr>
          <w:rFonts w:ascii="Times New Roman" w:hAnsi="Times New Roman" w:eastAsia="宋体"/>
        </w:rPr>
        <w:t>其中 Theta_s^{GB} 为国标静态阈值，R_s(t) 为第 s 类样品在第 t 天的保留率。这样，检测延迟和环境影响通过保留率进入阈值修正过程。</w:t>
      </w:r>
    </w:p>
    <w:p>
      <w:pPr>
        <w:pStyle w:val="Heading3"/>
        <w:keepNext/>
      </w:pPr>
      <w:r>
        <w:rPr>
          <w:rFonts w:ascii="Times New Roman" w:hAnsi="Times New Roman" w:eastAsia="宋体"/>
          <w:b/>
        </w:rPr>
        <w:t>6.3.3 1-90天动态阈值序列</w:t>
      </w:r>
    </w:p>
    <w:p>
      <w:pPr>
        <w:spacing w:line="360" w:lineRule="auto" w:after="0"/>
        <w:ind w:firstLine="480"/>
        <w:jc w:val="both"/>
      </w:pPr>
      <w:r>
        <w:rPr>
          <w:rFonts w:ascii="Times New Roman" w:hAnsi="Times New Roman" w:eastAsia="宋体"/>
        </w:rPr>
        <w:t>根据上述公式可计算四类样品1-90天动态阈值序列。主文保留关键节点，完整序列作为附件提交。旧草稿中的关键节点如下表所示。</w:t>
      </w:r>
    </w:p>
    <w:p>
      <w:pPr>
        <w:spacing w:before="120" w:after="60"/>
        <w:jc w:val="center"/>
      </w:pPr>
      <w:r>
        <w:rPr>
          <w:rFonts w:ascii="Times New Roman" w:hAnsi="Times New Roman" w:eastAsia="宋体"/>
          <w:b/>
          <w:sz w:val="21"/>
        </w:rPr>
        <w:t>表3 四类样品动态阈值关键节点（mT）</w:t>
      </w:r>
    </w:p>
    <w:tbl>
      <w:tblPr>
        <w:tblStyle w:val="TableGrid"/>
        <w:tblW w:type="auto" w:w="0"/>
        <w:tblLayout w:type="autofit"/>
        <w:tblLook w:firstColumn="1" w:firstRow="1" w:lastColumn="0" w:lastRow="0" w:noHBand="0" w:noVBand="1" w:val="04A0"/>
      </w:tblPr>
      <w:tblGrid>
        <w:gridCol w:w="1814"/>
        <w:gridCol w:w="1814"/>
        <w:gridCol w:w="1814"/>
        <w:gridCol w:w="1814"/>
        <w:gridCol w:w="1814"/>
      </w:tblGrid>
      <w:tr>
        <w:tc>
          <w:tcPr>
            <w:tcW w:type="dxa" w:w="1814"/>
            <w:vAlign w:val="center"/>
            <w:shd w:fill="D9EAF7"/>
          </w:tcPr>
          <w:p>
            <w:pPr>
              <w:jc w:val="center"/>
            </w:pPr>
            <w:r>
              <w:rPr>
                <w:rFonts w:ascii="Times New Roman" w:hAnsi="Times New Roman" w:eastAsia="宋体"/>
                <w:b/>
                <w:sz w:val="17"/>
              </w:rPr>
              <w:t>天数</w:t>
            </w:r>
          </w:p>
        </w:tc>
        <w:tc>
          <w:tcPr>
            <w:tcW w:type="dxa" w:w="1814"/>
            <w:vAlign w:val="center"/>
            <w:shd w:fill="D9EAF7"/>
          </w:tcPr>
          <w:p>
            <w:pPr>
              <w:jc w:val="center"/>
            </w:pPr>
            <w:r>
              <w:rPr>
                <w:rFonts w:ascii="Times New Roman" w:hAnsi="Times New Roman" w:eastAsia="宋体"/>
                <w:b/>
                <w:sz w:val="17"/>
              </w:rPr>
              <w:t>小号铁钉</w:t>
            </w:r>
          </w:p>
        </w:tc>
        <w:tc>
          <w:tcPr>
            <w:tcW w:type="dxa" w:w="1814"/>
            <w:vAlign w:val="center"/>
            <w:shd w:fill="D9EAF7"/>
          </w:tcPr>
          <w:p>
            <w:pPr>
              <w:jc w:val="center"/>
            </w:pPr>
            <w:r>
              <w:rPr>
                <w:rFonts w:ascii="Times New Roman" w:hAnsi="Times New Roman" w:eastAsia="宋体"/>
                <w:b/>
                <w:sz w:val="17"/>
              </w:rPr>
              <w:t>小号铁夹</w:t>
            </w:r>
          </w:p>
        </w:tc>
        <w:tc>
          <w:tcPr>
            <w:tcW w:type="dxa" w:w="1814"/>
            <w:vAlign w:val="center"/>
            <w:shd w:fill="D9EAF7"/>
          </w:tcPr>
          <w:p>
            <w:pPr>
              <w:jc w:val="center"/>
            </w:pPr>
            <w:r>
              <w:rPr>
                <w:rFonts w:ascii="Times New Roman" w:hAnsi="Times New Roman" w:eastAsia="宋体"/>
                <w:b/>
                <w:sz w:val="17"/>
              </w:rPr>
              <w:t>普通钢筋</w:t>
            </w:r>
          </w:p>
        </w:tc>
        <w:tc>
          <w:tcPr>
            <w:tcW w:type="dxa" w:w="1814"/>
            <w:vAlign w:val="center"/>
            <w:shd w:fill="D9EAF7"/>
          </w:tcPr>
          <w:p>
            <w:pPr>
              <w:jc w:val="center"/>
            </w:pPr>
            <w:r>
              <w:rPr>
                <w:rFonts w:ascii="Times New Roman" w:hAnsi="Times New Roman" w:eastAsia="宋体"/>
                <w:b/>
                <w:sz w:val="17"/>
              </w:rPr>
              <w:t>锈蚀钢筋</w:t>
            </w:r>
          </w:p>
        </w:tc>
      </w:tr>
      <w:tr>
        <w:tc>
          <w:tcPr>
            <w:tcW w:type="dxa" w:w="1814"/>
            <w:vAlign w:val="center"/>
          </w:tcPr>
          <w:p>
            <w:pPr>
              <w:spacing w:after="0"/>
              <w:jc w:val="center"/>
            </w:pPr>
            <w:r>
              <w:rPr>
                <w:rFonts w:ascii="Times New Roman" w:hAnsi="Times New Roman" w:eastAsia="宋体"/>
                <w:sz w:val="17"/>
              </w:rPr>
              <w:t>1</w:t>
            </w:r>
          </w:p>
        </w:tc>
        <w:tc>
          <w:tcPr>
            <w:tcW w:type="dxa" w:w="1814"/>
            <w:vAlign w:val="center"/>
          </w:tcPr>
          <w:p>
            <w:pPr>
              <w:spacing w:after="0"/>
              <w:jc w:val="center"/>
            </w:pPr>
            <w:r>
              <w:rPr>
                <w:rFonts w:ascii="Times New Roman" w:hAnsi="Times New Roman" w:eastAsia="宋体"/>
                <w:sz w:val="17"/>
              </w:rPr>
              <w:t>0.875958</w:t>
            </w:r>
          </w:p>
        </w:tc>
        <w:tc>
          <w:tcPr>
            <w:tcW w:type="dxa" w:w="1814"/>
            <w:vAlign w:val="center"/>
          </w:tcPr>
          <w:p>
            <w:pPr>
              <w:spacing w:after="0"/>
              <w:jc w:val="center"/>
            </w:pPr>
            <w:r>
              <w:rPr>
                <w:rFonts w:ascii="Times New Roman" w:hAnsi="Times New Roman" w:eastAsia="宋体"/>
                <w:sz w:val="17"/>
              </w:rPr>
              <w:t>0.874110</w:t>
            </w:r>
          </w:p>
        </w:tc>
        <w:tc>
          <w:tcPr>
            <w:tcW w:type="dxa" w:w="1814"/>
            <w:vAlign w:val="center"/>
          </w:tcPr>
          <w:p>
            <w:pPr>
              <w:spacing w:after="0"/>
              <w:jc w:val="center"/>
            </w:pPr>
            <w:r>
              <w:rPr>
                <w:rFonts w:ascii="Times New Roman" w:hAnsi="Times New Roman" w:eastAsia="宋体"/>
                <w:sz w:val="17"/>
              </w:rPr>
              <w:t>1.319551</w:t>
            </w:r>
          </w:p>
        </w:tc>
        <w:tc>
          <w:tcPr>
            <w:tcW w:type="dxa" w:w="1814"/>
            <w:vAlign w:val="center"/>
          </w:tcPr>
          <w:p>
            <w:pPr>
              <w:spacing w:after="0"/>
              <w:jc w:val="center"/>
            </w:pPr>
            <w:r>
              <w:rPr>
                <w:rFonts w:ascii="Times New Roman" w:hAnsi="Times New Roman" w:eastAsia="宋体"/>
                <w:sz w:val="17"/>
              </w:rPr>
              <w:t>1.306901</w:t>
            </w:r>
          </w:p>
        </w:tc>
      </w:tr>
      <w:tr>
        <w:tc>
          <w:tcPr>
            <w:tcW w:type="dxa" w:w="1814"/>
            <w:vAlign w:val="center"/>
          </w:tcPr>
          <w:p>
            <w:pPr>
              <w:spacing w:after="0"/>
              <w:jc w:val="center"/>
            </w:pPr>
            <w:r>
              <w:rPr>
                <w:rFonts w:ascii="Times New Roman" w:hAnsi="Times New Roman" w:eastAsia="宋体"/>
                <w:sz w:val="17"/>
              </w:rPr>
              <w:t>7</w:t>
            </w:r>
          </w:p>
        </w:tc>
        <w:tc>
          <w:tcPr>
            <w:tcW w:type="dxa" w:w="1814"/>
            <w:vAlign w:val="center"/>
          </w:tcPr>
          <w:p>
            <w:pPr>
              <w:spacing w:after="0"/>
              <w:jc w:val="center"/>
            </w:pPr>
            <w:r>
              <w:rPr>
                <w:rFonts w:ascii="Times New Roman" w:hAnsi="Times New Roman" w:eastAsia="宋体"/>
                <w:sz w:val="17"/>
              </w:rPr>
              <w:t>0.579790</w:t>
            </w:r>
          </w:p>
        </w:tc>
        <w:tc>
          <w:tcPr>
            <w:tcW w:type="dxa" w:w="1814"/>
            <w:vAlign w:val="center"/>
          </w:tcPr>
          <w:p>
            <w:pPr>
              <w:spacing w:after="0"/>
              <w:jc w:val="center"/>
            </w:pPr>
            <w:r>
              <w:rPr>
                <w:rFonts w:ascii="Times New Roman" w:hAnsi="Times New Roman" w:eastAsia="宋体"/>
                <w:sz w:val="17"/>
              </w:rPr>
              <w:t>0.563319</w:t>
            </w:r>
          </w:p>
        </w:tc>
        <w:tc>
          <w:tcPr>
            <w:tcW w:type="dxa" w:w="1814"/>
            <w:vAlign w:val="center"/>
          </w:tcPr>
          <w:p>
            <w:pPr>
              <w:spacing w:after="0"/>
              <w:jc w:val="center"/>
            </w:pPr>
            <w:r>
              <w:rPr>
                <w:rFonts w:ascii="Times New Roman" w:hAnsi="Times New Roman" w:eastAsia="宋体"/>
                <w:sz w:val="17"/>
              </w:rPr>
              <w:t>0.955061</w:t>
            </w:r>
          </w:p>
        </w:tc>
        <w:tc>
          <w:tcPr>
            <w:tcW w:type="dxa" w:w="1814"/>
            <w:vAlign w:val="center"/>
          </w:tcPr>
          <w:p>
            <w:pPr>
              <w:spacing w:after="0"/>
              <w:jc w:val="center"/>
            </w:pPr>
            <w:r>
              <w:rPr>
                <w:rFonts w:ascii="Times New Roman" w:hAnsi="Times New Roman" w:eastAsia="宋体"/>
                <w:sz w:val="17"/>
              </w:rPr>
              <w:t>0.790295</w:t>
            </w:r>
          </w:p>
        </w:tc>
      </w:tr>
      <w:tr>
        <w:tc>
          <w:tcPr>
            <w:tcW w:type="dxa" w:w="1814"/>
            <w:vAlign w:val="center"/>
          </w:tcPr>
          <w:p>
            <w:pPr>
              <w:spacing w:after="0"/>
              <w:jc w:val="center"/>
            </w:pPr>
            <w:r>
              <w:rPr>
                <w:rFonts w:ascii="Times New Roman" w:hAnsi="Times New Roman" w:eastAsia="宋体"/>
                <w:sz w:val="17"/>
              </w:rPr>
              <w:t>15</w:t>
            </w:r>
          </w:p>
        </w:tc>
        <w:tc>
          <w:tcPr>
            <w:tcW w:type="dxa" w:w="1814"/>
            <w:vAlign w:val="center"/>
          </w:tcPr>
          <w:p>
            <w:pPr>
              <w:spacing w:after="0"/>
              <w:jc w:val="center"/>
            </w:pPr>
            <w:r>
              <w:rPr>
                <w:rFonts w:ascii="Times New Roman" w:hAnsi="Times New Roman" w:eastAsia="宋体"/>
                <w:sz w:val="17"/>
              </w:rPr>
              <w:t>0.345197</w:t>
            </w:r>
          </w:p>
        </w:tc>
        <w:tc>
          <w:tcPr>
            <w:tcW w:type="dxa" w:w="1814"/>
            <w:vAlign w:val="center"/>
          </w:tcPr>
          <w:p>
            <w:pPr>
              <w:spacing w:after="0"/>
              <w:jc w:val="center"/>
            </w:pPr>
            <w:r>
              <w:rPr>
                <w:rFonts w:ascii="Times New Roman" w:hAnsi="Times New Roman" w:eastAsia="宋体"/>
                <w:sz w:val="17"/>
              </w:rPr>
              <w:t>0.323657</w:t>
            </w:r>
          </w:p>
        </w:tc>
        <w:tc>
          <w:tcPr>
            <w:tcW w:type="dxa" w:w="1814"/>
            <w:vAlign w:val="center"/>
          </w:tcPr>
          <w:p>
            <w:pPr>
              <w:spacing w:after="0"/>
              <w:jc w:val="center"/>
            </w:pPr>
            <w:r>
              <w:rPr>
                <w:rFonts w:ascii="Times New Roman" w:hAnsi="Times New Roman" w:eastAsia="宋体"/>
                <w:sz w:val="17"/>
              </w:rPr>
              <w:t>0.640595</w:t>
            </w:r>
          </w:p>
        </w:tc>
        <w:tc>
          <w:tcPr>
            <w:tcW w:type="dxa" w:w="1814"/>
            <w:vAlign w:val="center"/>
          </w:tcPr>
          <w:p>
            <w:pPr>
              <w:spacing w:after="0"/>
              <w:jc w:val="center"/>
            </w:pPr>
            <w:r>
              <w:rPr>
                <w:rFonts w:ascii="Times New Roman" w:hAnsi="Times New Roman" w:eastAsia="宋体"/>
                <w:sz w:val="17"/>
              </w:rPr>
              <w:t>0.417123</w:t>
            </w:r>
          </w:p>
        </w:tc>
      </w:tr>
      <w:tr>
        <w:tc>
          <w:tcPr>
            <w:tcW w:type="dxa" w:w="1814"/>
            <w:vAlign w:val="center"/>
          </w:tcPr>
          <w:p>
            <w:pPr>
              <w:spacing w:after="0"/>
              <w:jc w:val="center"/>
            </w:pPr>
            <w:r>
              <w:rPr>
                <w:rFonts w:ascii="Times New Roman" w:hAnsi="Times New Roman" w:eastAsia="宋体"/>
                <w:sz w:val="17"/>
              </w:rPr>
              <w:t>22</w:t>
            </w:r>
          </w:p>
        </w:tc>
        <w:tc>
          <w:tcPr>
            <w:tcW w:type="dxa" w:w="1814"/>
            <w:vAlign w:val="center"/>
          </w:tcPr>
          <w:p>
            <w:pPr>
              <w:spacing w:after="0"/>
              <w:jc w:val="center"/>
            </w:pPr>
            <w:r>
              <w:rPr>
                <w:rFonts w:ascii="Times New Roman" w:hAnsi="Times New Roman" w:eastAsia="宋体"/>
                <w:sz w:val="17"/>
              </w:rPr>
              <w:t>0.212358</w:t>
            </w:r>
          </w:p>
        </w:tc>
        <w:tc>
          <w:tcPr>
            <w:tcW w:type="dxa" w:w="1814"/>
            <w:vAlign w:val="center"/>
          </w:tcPr>
          <w:p>
            <w:pPr>
              <w:spacing w:after="0"/>
              <w:jc w:val="center"/>
            </w:pPr>
            <w:r>
              <w:rPr>
                <w:rFonts w:ascii="Times New Roman" w:hAnsi="Times New Roman" w:eastAsia="宋体"/>
                <w:sz w:val="17"/>
              </w:rPr>
              <w:t>0.192999</w:t>
            </w:r>
          </w:p>
        </w:tc>
        <w:tc>
          <w:tcPr>
            <w:tcW w:type="dxa" w:w="1814"/>
            <w:vAlign w:val="center"/>
          </w:tcPr>
          <w:p>
            <w:pPr>
              <w:spacing w:after="0"/>
              <w:jc w:val="center"/>
            </w:pPr>
            <w:r>
              <w:rPr>
                <w:rFonts w:ascii="Times New Roman" w:hAnsi="Times New Roman" w:eastAsia="宋体"/>
                <w:sz w:val="17"/>
              </w:rPr>
              <w:t>0.437394</w:t>
            </w:r>
          </w:p>
        </w:tc>
        <w:tc>
          <w:tcPr>
            <w:tcW w:type="dxa" w:w="1814"/>
            <w:vAlign w:val="center"/>
          </w:tcPr>
          <w:p>
            <w:pPr>
              <w:spacing w:after="0"/>
              <w:jc w:val="center"/>
            </w:pPr>
            <w:r>
              <w:rPr>
                <w:rFonts w:ascii="Times New Roman" w:hAnsi="Times New Roman" w:eastAsia="宋体"/>
                <w:sz w:val="17"/>
              </w:rPr>
              <w:t>0.230932</w:t>
            </w:r>
          </w:p>
        </w:tc>
      </w:tr>
      <w:tr>
        <w:tc>
          <w:tcPr>
            <w:tcW w:type="dxa" w:w="1814"/>
            <w:vAlign w:val="center"/>
          </w:tcPr>
          <w:p>
            <w:pPr>
              <w:spacing w:after="0"/>
              <w:jc w:val="center"/>
            </w:pPr>
            <w:r>
              <w:rPr>
                <w:rFonts w:ascii="Times New Roman" w:hAnsi="Times New Roman" w:eastAsia="宋体"/>
                <w:sz w:val="17"/>
              </w:rPr>
              <w:t>30</w:t>
            </w:r>
          </w:p>
        </w:tc>
        <w:tc>
          <w:tcPr>
            <w:tcW w:type="dxa" w:w="1814"/>
            <w:vAlign w:val="center"/>
          </w:tcPr>
          <w:p>
            <w:pPr>
              <w:spacing w:after="0"/>
              <w:jc w:val="center"/>
            </w:pPr>
            <w:r>
              <w:rPr>
                <w:rFonts w:ascii="Times New Roman" w:hAnsi="Times New Roman" w:eastAsia="宋体"/>
                <w:sz w:val="17"/>
              </w:rPr>
              <w:t>0.111506</w:t>
            </w:r>
          </w:p>
        </w:tc>
        <w:tc>
          <w:tcPr>
            <w:tcW w:type="dxa" w:w="1814"/>
            <w:vAlign w:val="center"/>
          </w:tcPr>
          <w:p>
            <w:pPr>
              <w:spacing w:after="0"/>
              <w:jc w:val="center"/>
            </w:pPr>
            <w:r>
              <w:rPr>
                <w:rFonts w:ascii="Times New Roman" w:hAnsi="Times New Roman" w:eastAsia="宋体"/>
                <w:sz w:val="17"/>
              </w:rPr>
              <w:t>0.097795</w:t>
            </w:r>
          </w:p>
        </w:tc>
        <w:tc>
          <w:tcPr>
            <w:tcW w:type="dxa" w:w="1814"/>
            <w:vAlign w:val="center"/>
          </w:tcPr>
          <w:p>
            <w:pPr>
              <w:spacing w:after="0"/>
              <w:jc w:val="center"/>
            </w:pPr>
            <w:r>
              <w:rPr>
                <w:rFonts w:ascii="Times New Roman" w:hAnsi="Times New Roman" w:eastAsia="宋体"/>
                <w:sz w:val="17"/>
              </w:rPr>
              <w:t>0.258735</w:t>
            </w:r>
          </w:p>
        </w:tc>
        <w:tc>
          <w:tcPr>
            <w:tcW w:type="dxa" w:w="1814"/>
            <w:vAlign w:val="center"/>
          </w:tcPr>
          <w:p>
            <w:pPr>
              <w:spacing w:after="0"/>
              <w:jc w:val="center"/>
            </w:pPr>
            <w:r>
              <w:rPr>
                <w:rFonts w:ascii="Times New Roman" w:hAnsi="Times New Roman" w:eastAsia="宋体"/>
                <w:sz w:val="17"/>
              </w:rPr>
              <w:t>0.107495</w:t>
            </w:r>
          </w:p>
        </w:tc>
      </w:tr>
      <w:tr>
        <w:tc>
          <w:tcPr>
            <w:tcW w:type="dxa" w:w="1814"/>
            <w:vAlign w:val="center"/>
          </w:tcPr>
          <w:p>
            <w:pPr>
              <w:spacing w:after="0"/>
              <w:jc w:val="center"/>
            </w:pPr>
            <w:r>
              <w:rPr>
                <w:rFonts w:ascii="Times New Roman" w:hAnsi="Times New Roman" w:eastAsia="宋体"/>
                <w:sz w:val="17"/>
              </w:rPr>
              <w:t>58</w:t>
            </w:r>
          </w:p>
        </w:tc>
        <w:tc>
          <w:tcPr>
            <w:tcW w:type="dxa" w:w="1814"/>
            <w:vAlign w:val="center"/>
          </w:tcPr>
          <w:p>
            <w:pPr>
              <w:spacing w:after="0"/>
              <w:jc w:val="center"/>
            </w:pPr>
            <w:r>
              <w:rPr>
                <w:rFonts w:ascii="Times New Roman" w:hAnsi="Times New Roman" w:eastAsia="宋体"/>
                <w:sz w:val="17"/>
              </w:rPr>
              <w:t>0.011383</w:t>
            </w:r>
          </w:p>
        </w:tc>
        <w:tc>
          <w:tcPr>
            <w:tcW w:type="dxa" w:w="1814"/>
            <w:vAlign w:val="center"/>
          </w:tcPr>
          <w:p>
            <w:pPr>
              <w:spacing w:after="0"/>
              <w:jc w:val="center"/>
            </w:pPr>
            <w:r>
              <w:rPr>
                <w:rFonts w:ascii="Times New Roman" w:hAnsi="Times New Roman" w:eastAsia="宋体"/>
                <w:sz w:val="17"/>
              </w:rPr>
              <w:t>0.008813</w:t>
            </w:r>
          </w:p>
        </w:tc>
        <w:tc>
          <w:tcPr>
            <w:tcW w:type="dxa" w:w="1814"/>
            <w:vAlign w:val="center"/>
          </w:tcPr>
          <w:p>
            <w:pPr>
              <w:spacing w:after="0"/>
              <w:jc w:val="center"/>
            </w:pPr>
            <w:r>
              <w:rPr>
                <w:rFonts w:ascii="Times New Roman" w:hAnsi="Times New Roman" w:eastAsia="宋体"/>
                <w:sz w:val="17"/>
              </w:rPr>
              <w:t>0.040082</w:t>
            </w:r>
          </w:p>
        </w:tc>
        <w:tc>
          <w:tcPr>
            <w:tcW w:type="dxa" w:w="1814"/>
            <w:vAlign w:val="center"/>
          </w:tcPr>
          <w:p>
            <w:pPr>
              <w:spacing w:after="0"/>
              <w:jc w:val="center"/>
            </w:pPr>
            <w:r>
              <w:rPr>
                <w:rFonts w:ascii="Times New Roman" w:hAnsi="Times New Roman" w:eastAsia="宋体"/>
                <w:sz w:val="17"/>
              </w:rPr>
              <w:t>0.007198</w:t>
            </w:r>
          </w:p>
        </w:tc>
      </w:tr>
      <w:tr>
        <w:tc>
          <w:tcPr>
            <w:tcW w:type="dxa" w:w="1814"/>
            <w:vAlign w:val="center"/>
          </w:tcPr>
          <w:p>
            <w:pPr>
              <w:spacing w:after="0"/>
              <w:jc w:val="center"/>
            </w:pPr>
            <w:r>
              <w:rPr>
                <w:rFonts w:ascii="Times New Roman" w:hAnsi="Times New Roman" w:eastAsia="宋体"/>
                <w:sz w:val="17"/>
              </w:rPr>
              <w:t>90</w:t>
            </w:r>
          </w:p>
        </w:tc>
        <w:tc>
          <w:tcPr>
            <w:tcW w:type="dxa" w:w="1814"/>
            <w:vAlign w:val="center"/>
          </w:tcPr>
          <w:p>
            <w:pPr>
              <w:spacing w:after="0"/>
              <w:jc w:val="center"/>
            </w:pPr>
            <w:r>
              <w:rPr>
                <w:rFonts w:ascii="Times New Roman" w:hAnsi="Times New Roman" w:eastAsia="宋体"/>
                <w:sz w:val="17"/>
              </w:rPr>
              <w:t>0.000580</w:t>
            </w:r>
          </w:p>
        </w:tc>
        <w:tc>
          <w:tcPr>
            <w:tcW w:type="dxa" w:w="1814"/>
            <w:vAlign w:val="center"/>
          </w:tcPr>
          <w:p>
            <w:pPr>
              <w:spacing w:after="0"/>
              <w:jc w:val="center"/>
            </w:pPr>
            <w:r>
              <w:rPr>
                <w:rFonts w:ascii="Times New Roman" w:hAnsi="Times New Roman" w:eastAsia="宋体"/>
                <w:sz w:val="17"/>
              </w:rPr>
              <w:t>0.000389</w:t>
            </w:r>
          </w:p>
        </w:tc>
        <w:tc>
          <w:tcPr>
            <w:tcW w:type="dxa" w:w="1814"/>
            <w:vAlign w:val="center"/>
          </w:tcPr>
          <w:p>
            <w:pPr>
              <w:spacing w:after="0"/>
              <w:jc w:val="center"/>
            </w:pPr>
            <w:r>
              <w:rPr>
                <w:rFonts w:ascii="Times New Roman" w:hAnsi="Times New Roman" w:eastAsia="宋体"/>
                <w:sz w:val="17"/>
              </w:rPr>
              <w:t>0.003290</w:t>
            </w:r>
          </w:p>
        </w:tc>
        <w:tc>
          <w:tcPr>
            <w:tcW w:type="dxa" w:w="1814"/>
            <w:vAlign w:val="center"/>
          </w:tcPr>
          <w:p>
            <w:pPr>
              <w:spacing w:after="0"/>
              <w:jc w:val="center"/>
            </w:pPr>
            <w:r>
              <w:rPr>
                <w:rFonts w:ascii="Times New Roman" w:hAnsi="Times New Roman" w:eastAsia="宋体"/>
                <w:sz w:val="17"/>
              </w:rPr>
              <w:t>0.000227</w:t>
            </w:r>
          </w:p>
        </w:tc>
      </w:tr>
    </w:tbl>
    <w:p>
      <w:pPr>
        <w:spacing w:before="120"/>
        <w:jc w:val="center"/>
      </w:pPr>
      <w:r>
        <w:drawing>
          <wp:inline xmlns:a="http://schemas.openxmlformats.org/drawingml/2006/main" xmlns:pic="http://schemas.openxmlformats.org/drawingml/2006/picture">
            <wp:extent cx="5328000" cy="3532991"/>
            <wp:docPr id="6" name="Picture 6"/>
            <wp:cNvGraphicFramePr>
              <a:graphicFrameLocks noChangeAspect="1"/>
            </wp:cNvGraphicFramePr>
            <a:graphic>
              <a:graphicData uri="http://schemas.openxmlformats.org/drawingml/2006/picture">
                <pic:pic>
                  <pic:nvPicPr>
                    <pic:cNvPr id="0" name="fig6_dynamic_thresholds_science.png"/>
                    <pic:cNvPicPr/>
                  </pic:nvPicPr>
                  <pic:blipFill>
                    <a:blip r:embed="rId14"/>
                    <a:stretch>
                      <a:fillRect/>
                    </a:stretch>
                  </pic:blipFill>
                  <pic:spPr>
                    <a:xfrm>
                      <a:off x="0" y="0"/>
                      <a:ext cx="5328000" cy="3532991"/>
                    </a:xfrm>
                    <a:prstGeom prst="rect"/>
                  </pic:spPr>
                </pic:pic>
              </a:graphicData>
            </a:graphic>
          </wp:inline>
        </w:drawing>
      </w:r>
    </w:p>
    <w:p>
      <w:pPr>
        <w:spacing w:before="40" w:after="120"/>
        <w:jc w:val="center"/>
      </w:pPr>
      <w:r>
        <w:rPr>
          <w:rFonts w:ascii="Times New Roman" w:hAnsi="Times New Roman" w:eastAsia="宋体"/>
          <w:sz w:val="21"/>
        </w:rPr>
        <w:t>图6 动态阈值曲线</w:t>
      </w:r>
    </w:p>
    <w:p>
      <w:pPr>
        <w:pStyle w:val="Heading3"/>
        <w:keepNext/>
      </w:pPr>
      <w:r>
        <w:rPr>
          <w:rFonts w:ascii="Times New Roman" w:hAnsi="Times New Roman" w:eastAsia="宋体"/>
          <w:b/>
        </w:rPr>
        <w:t>6.3.4 单调性与关键节点检验</w:t>
      </w:r>
    </w:p>
    <w:p>
      <w:pPr>
        <w:spacing w:line="360" w:lineRule="auto" w:after="0"/>
        <w:ind w:firstLine="480"/>
        <w:jc w:val="both"/>
      </w:pPr>
      <w:r>
        <w:rPr>
          <w:rFonts w:ascii="Times New Roman" w:hAnsi="Times New Roman" w:eastAsia="宋体"/>
        </w:rPr>
        <w:t>动态阈值应随检测延迟整体下降。旧草稿中的检验结果表明，四类样品阈值序列均单调不增，上升次数为0。小号铁钉阈值由第1天0.875958 mT 下降至第90天0.000580 mT，锈蚀钢筋由1.306901 mT 下降至0.000227 mT。</w:t>
      </w:r>
    </w:p>
    <w:p>
      <w:pPr>
        <w:spacing w:before="120" w:after="60"/>
        <w:jc w:val="center"/>
      </w:pPr>
      <w:r>
        <w:rPr>
          <w:rFonts w:ascii="Times New Roman" w:hAnsi="Times New Roman" w:eastAsia="宋体"/>
          <w:b/>
          <w:sz w:val="21"/>
        </w:rPr>
        <w:t>表4 动态阈值单调性检验</w:t>
      </w:r>
    </w:p>
    <w:tbl>
      <w:tblPr>
        <w:tblStyle w:val="TableGrid"/>
        <w:tblW w:type="auto" w:w="0"/>
        <w:tblLayout w:type="autofit"/>
        <w:tblLook w:firstColumn="1" w:firstRow="1" w:lastColumn="0" w:lastRow="0" w:noHBand="0" w:noVBand="1" w:val="04A0"/>
      </w:tblPr>
      <w:tblGrid>
        <w:gridCol w:w="1814"/>
        <w:gridCol w:w="1814"/>
        <w:gridCol w:w="1814"/>
        <w:gridCol w:w="1814"/>
        <w:gridCol w:w="1814"/>
      </w:tblGrid>
      <w:tr>
        <w:tc>
          <w:tcPr>
            <w:tcW w:type="dxa" w:w="1814"/>
            <w:vAlign w:val="center"/>
            <w:shd w:fill="D9EAF7"/>
          </w:tcPr>
          <w:p>
            <w:pPr>
              <w:jc w:val="center"/>
            </w:pPr>
            <w:r>
              <w:rPr>
                <w:rFonts w:ascii="Times New Roman" w:hAnsi="Times New Roman" w:eastAsia="宋体"/>
                <w:b/>
                <w:sz w:val="17"/>
              </w:rPr>
              <w:t>样品类型</w:t>
            </w:r>
          </w:p>
        </w:tc>
        <w:tc>
          <w:tcPr>
            <w:tcW w:type="dxa" w:w="1814"/>
            <w:vAlign w:val="center"/>
            <w:shd w:fill="D9EAF7"/>
          </w:tcPr>
          <w:p>
            <w:pPr>
              <w:jc w:val="center"/>
            </w:pPr>
            <w:r>
              <w:rPr>
                <w:rFonts w:ascii="Times New Roman" w:hAnsi="Times New Roman" w:eastAsia="宋体"/>
                <w:b/>
                <w:sz w:val="17"/>
              </w:rPr>
              <w:t>是否单调不增</w:t>
            </w:r>
          </w:p>
        </w:tc>
        <w:tc>
          <w:tcPr>
            <w:tcW w:type="dxa" w:w="1814"/>
            <w:vAlign w:val="center"/>
            <w:shd w:fill="D9EAF7"/>
          </w:tcPr>
          <w:p>
            <w:pPr>
              <w:jc w:val="center"/>
            </w:pPr>
            <w:r>
              <w:rPr>
                <w:rFonts w:ascii="Times New Roman" w:hAnsi="Times New Roman" w:eastAsia="宋体"/>
                <w:b/>
                <w:sz w:val="17"/>
              </w:rPr>
              <w:t>上升次数</w:t>
            </w:r>
          </w:p>
        </w:tc>
        <w:tc>
          <w:tcPr>
            <w:tcW w:type="dxa" w:w="1814"/>
            <w:vAlign w:val="center"/>
            <w:shd w:fill="D9EAF7"/>
          </w:tcPr>
          <w:p>
            <w:pPr>
              <w:jc w:val="center"/>
            </w:pPr>
            <w:r>
              <w:rPr>
                <w:rFonts w:ascii="Times New Roman" w:hAnsi="Times New Roman" w:eastAsia="宋体"/>
                <w:b/>
                <w:sz w:val="17"/>
              </w:rPr>
              <w:t>首日阈值</w:t>
            </w:r>
          </w:p>
        </w:tc>
        <w:tc>
          <w:tcPr>
            <w:tcW w:type="dxa" w:w="1814"/>
            <w:vAlign w:val="center"/>
            <w:shd w:fill="D9EAF7"/>
          </w:tcPr>
          <w:p>
            <w:pPr>
              <w:jc w:val="center"/>
            </w:pPr>
            <w:r>
              <w:rPr>
                <w:rFonts w:ascii="Times New Roman" w:hAnsi="Times New Roman" w:eastAsia="宋体"/>
                <w:b/>
                <w:sz w:val="17"/>
              </w:rPr>
              <w:t>末日阈值</w:t>
            </w:r>
          </w:p>
        </w:tc>
      </w:tr>
      <w:tr>
        <w:tc>
          <w:tcPr>
            <w:tcW w:type="dxa" w:w="1814"/>
            <w:vAlign w:val="center"/>
          </w:tcPr>
          <w:p>
            <w:pPr>
              <w:spacing w:after="0"/>
              <w:jc w:val="center"/>
            </w:pPr>
            <w:r>
              <w:rPr>
                <w:rFonts w:ascii="Times New Roman" w:hAnsi="Times New Roman" w:eastAsia="宋体"/>
                <w:sz w:val="17"/>
              </w:rPr>
              <w:t>小号铁钉</w:t>
            </w:r>
          </w:p>
        </w:tc>
        <w:tc>
          <w:tcPr>
            <w:tcW w:type="dxa" w:w="1814"/>
            <w:vAlign w:val="center"/>
          </w:tcPr>
          <w:p>
            <w:pPr>
              <w:spacing w:after="0"/>
              <w:jc w:val="center"/>
            </w:pPr>
            <w:r>
              <w:rPr>
                <w:rFonts w:ascii="Times New Roman" w:hAnsi="Times New Roman" w:eastAsia="宋体"/>
                <w:sz w:val="17"/>
              </w:rPr>
              <w:t>是</w:t>
            </w:r>
          </w:p>
        </w:tc>
        <w:tc>
          <w:tcPr>
            <w:tcW w:type="dxa" w:w="1814"/>
            <w:vAlign w:val="center"/>
          </w:tcPr>
          <w:p>
            <w:pPr>
              <w:spacing w:after="0"/>
              <w:jc w:val="center"/>
            </w:pPr>
            <w:r>
              <w:rPr>
                <w:rFonts w:ascii="Times New Roman" w:hAnsi="Times New Roman" w:eastAsia="宋体"/>
                <w:sz w:val="17"/>
              </w:rPr>
              <w:t>0</w:t>
            </w:r>
          </w:p>
        </w:tc>
        <w:tc>
          <w:tcPr>
            <w:tcW w:type="dxa" w:w="1814"/>
            <w:vAlign w:val="center"/>
          </w:tcPr>
          <w:p>
            <w:pPr>
              <w:spacing w:after="0"/>
              <w:jc w:val="center"/>
            </w:pPr>
            <w:r>
              <w:rPr>
                <w:rFonts w:ascii="Times New Roman" w:hAnsi="Times New Roman" w:eastAsia="宋体"/>
                <w:sz w:val="17"/>
              </w:rPr>
              <w:t>0.875958</w:t>
            </w:r>
          </w:p>
        </w:tc>
        <w:tc>
          <w:tcPr>
            <w:tcW w:type="dxa" w:w="1814"/>
            <w:vAlign w:val="center"/>
          </w:tcPr>
          <w:p>
            <w:pPr>
              <w:spacing w:after="0"/>
              <w:jc w:val="center"/>
            </w:pPr>
            <w:r>
              <w:rPr>
                <w:rFonts w:ascii="Times New Roman" w:hAnsi="Times New Roman" w:eastAsia="宋体"/>
                <w:sz w:val="17"/>
              </w:rPr>
              <w:t>0.000580</w:t>
            </w:r>
          </w:p>
        </w:tc>
      </w:tr>
      <w:tr>
        <w:tc>
          <w:tcPr>
            <w:tcW w:type="dxa" w:w="1814"/>
            <w:vAlign w:val="center"/>
          </w:tcPr>
          <w:p>
            <w:pPr>
              <w:spacing w:after="0"/>
              <w:jc w:val="center"/>
            </w:pPr>
            <w:r>
              <w:rPr>
                <w:rFonts w:ascii="Times New Roman" w:hAnsi="Times New Roman" w:eastAsia="宋体"/>
                <w:sz w:val="17"/>
              </w:rPr>
              <w:t>小号铁夹</w:t>
            </w:r>
          </w:p>
        </w:tc>
        <w:tc>
          <w:tcPr>
            <w:tcW w:type="dxa" w:w="1814"/>
            <w:vAlign w:val="center"/>
          </w:tcPr>
          <w:p>
            <w:pPr>
              <w:spacing w:after="0"/>
              <w:jc w:val="center"/>
            </w:pPr>
            <w:r>
              <w:rPr>
                <w:rFonts w:ascii="Times New Roman" w:hAnsi="Times New Roman" w:eastAsia="宋体"/>
                <w:sz w:val="17"/>
              </w:rPr>
              <w:t>是</w:t>
            </w:r>
          </w:p>
        </w:tc>
        <w:tc>
          <w:tcPr>
            <w:tcW w:type="dxa" w:w="1814"/>
            <w:vAlign w:val="center"/>
          </w:tcPr>
          <w:p>
            <w:pPr>
              <w:spacing w:after="0"/>
              <w:jc w:val="center"/>
            </w:pPr>
            <w:r>
              <w:rPr>
                <w:rFonts w:ascii="Times New Roman" w:hAnsi="Times New Roman" w:eastAsia="宋体"/>
                <w:sz w:val="17"/>
              </w:rPr>
              <w:t>0</w:t>
            </w:r>
          </w:p>
        </w:tc>
        <w:tc>
          <w:tcPr>
            <w:tcW w:type="dxa" w:w="1814"/>
            <w:vAlign w:val="center"/>
          </w:tcPr>
          <w:p>
            <w:pPr>
              <w:spacing w:after="0"/>
              <w:jc w:val="center"/>
            </w:pPr>
            <w:r>
              <w:rPr>
                <w:rFonts w:ascii="Times New Roman" w:hAnsi="Times New Roman" w:eastAsia="宋体"/>
                <w:sz w:val="17"/>
              </w:rPr>
              <w:t>0.874110</w:t>
            </w:r>
          </w:p>
        </w:tc>
        <w:tc>
          <w:tcPr>
            <w:tcW w:type="dxa" w:w="1814"/>
            <w:vAlign w:val="center"/>
          </w:tcPr>
          <w:p>
            <w:pPr>
              <w:spacing w:after="0"/>
              <w:jc w:val="center"/>
            </w:pPr>
            <w:r>
              <w:rPr>
                <w:rFonts w:ascii="Times New Roman" w:hAnsi="Times New Roman" w:eastAsia="宋体"/>
                <w:sz w:val="17"/>
              </w:rPr>
              <w:t>0.000389</w:t>
            </w:r>
          </w:p>
        </w:tc>
      </w:tr>
      <w:tr>
        <w:tc>
          <w:tcPr>
            <w:tcW w:type="dxa" w:w="1814"/>
            <w:vAlign w:val="center"/>
          </w:tcPr>
          <w:p>
            <w:pPr>
              <w:spacing w:after="0"/>
              <w:jc w:val="center"/>
            </w:pPr>
            <w:r>
              <w:rPr>
                <w:rFonts w:ascii="Times New Roman" w:hAnsi="Times New Roman" w:eastAsia="宋体"/>
                <w:sz w:val="17"/>
              </w:rPr>
              <w:t>普通钢筋</w:t>
            </w:r>
          </w:p>
        </w:tc>
        <w:tc>
          <w:tcPr>
            <w:tcW w:type="dxa" w:w="1814"/>
            <w:vAlign w:val="center"/>
          </w:tcPr>
          <w:p>
            <w:pPr>
              <w:spacing w:after="0"/>
              <w:jc w:val="center"/>
            </w:pPr>
            <w:r>
              <w:rPr>
                <w:rFonts w:ascii="Times New Roman" w:hAnsi="Times New Roman" w:eastAsia="宋体"/>
                <w:sz w:val="17"/>
              </w:rPr>
              <w:t>是</w:t>
            </w:r>
          </w:p>
        </w:tc>
        <w:tc>
          <w:tcPr>
            <w:tcW w:type="dxa" w:w="1814"/>
            <w:vAlign w:val="center"/>
          </w:tcPr>
          <w:p>
            <w:pPr>
              <w:spacing w:after="0"/>
              <w:jc w:val="center"/>
            </w:pPr>
            <w:r>
              <w:rPr>
                <w:rFonts w:ascii="Times New Roman" w:hAnsi="Times New Roman" w:eastAsia="宋体"/>
                <w:sz w:val="17"/>
              </w:rPr>
              <w:t>0</w:t>
            </w:r>
          </w:p>
        </w:tc>
        <w:tc>
          <w:tcPr>
            <w:tcW w:type="dxa" w:w="1814"/>
            <w:vAlign w:val="center"/>
          </w:tcPr>
          <w:p>
            <w:pPr>
              <w:spacing w:after="0"/>
              <w:jc w:val="center"/>
            </w:pPr>
            <w:r>
              <w:rPr>
                <w:rFonts w:ascii="Times New Roman" w:hAnsi="Times New Roman" w:eastAsia="宋体"/>
                <w:sz w:val="17"/>
              </w:rPr>
              <w:t>1.319551</w:t>
            </w:r>
          </w:p>
        </w:tc>
        <w:tc>
          <w:tcPr>
            <w:tcW w:type="dxa" w:w="1814"/>
            <w:vAlign w:val="center"/>
          </w:tcPr>
          <w:p>
            <w:pPr>
              <w:spacing w:after="0"/>
              <w:jc w:val="center"/>
            </w:pPr>
            <w:r>
              <w:rPr>
                <w:rFonts w:ascii="Times New Roman" w:hAnsi="Times New Roman" w:eastAsia="宋体"/>
                <w:sz w:val="17"/>
              </w:rPr>
              <w:t>0.003290</w:t>
            </w:r>
          </w:p>
        </w:tc>
      </w:tr>
      <w:tr>
        <w:tc>
          <w:tcPr>
            <w:tcW w:type="dxa" w:w="1814"/>
            <w:vAlign w:val="center"/>
          </w:tcPr>
          <w:p>
            <w:pPr>
              <w:spacing w:after="0"/>
              <w:jc w:val="center"/>
            </w:pPr>
            <w:r>
              <w:rPr>
                <w:rFonts w:ascii="Times New Roman" w:hAnsi="Times New Roman" w:eastAsia="宋体"/>
                <w:sz w:val="17"/>
              </w:rPr>
              <w:t>锈蚀钢筋</w:t>
            </w:r>
          </w:p>
        </w:tc>
        <w:tc>
          <w:tcPr>
            <w:tcW w:type="dxa" w:w="1814"/>
            <w:vAlign w:val="center"/>
          </w:tcPr>
          <w:p>
            <w:pPr>
              <w:spacing w:after="0"/>
              <w:jc w:val="center"/>
            </w:pPr>
            <w:r>
              <w:rPr>
                <w:rFonts w:ascii="Times New Roman" w:hAnsi="Times New Roman" w:eastAsia="宋体"/>
                <w:sz w:val="17"/>
              </w:rPr>
              <w:t>是</w:t>
            </w:r>
          </w:p>
        </w:tc>
        <w:tc>
          <w:tcPr>
            <w:tcW w:type="dxa" w:w="1814"/>
            <w:vAlign w:val="center"/>
          </w:tcPr>
          <w:p>
            <w:pPr>
              <w:spacing w:after="0"/>
              <w:jc w:val="center"/>
            </w:pPr>
            <w:r>
              <w:rPr>
                <w:rFonts w:ascii="Times New Roman" w:hAnsi="Times New Roman" w:eastAsia="宋体"/>
                <w:sz w:val="17"/>
              </w:rPr>
              <w:t>0</w:t>
            </w:r>
          </w:p>
        </w:tc>
        <w:tc>
          <w:tcPr>
            <w:tcW w:type="dxa" w:w="1814"/>
            <w:vAlign w:val="center"/>
          </w:tcPr>
          <w:p>
            <w:pPr>
              <w:spacing w:after="0"/>
              <w:jc w:val="center"/>
            </w:pPr>
            <w:r>
              <w:rPr>
                <w:rFonts w:ascii="Times New Roman" w:hAnsi="Times New Roman" w:eastAsia="宋体"/>
                <w:sz w:val="17"/>
              </w:rPr>
              <w:t>1.306901</w:t>
            </w:r>
          </w:p>
        </w:tc>
        <w:tc>
          <w:tcPr>
            <w:tcW w:type="dxa" w:w="1814"/>
            <w:vAlign w:val="center"/>
          </w:tcPr>
          <w:p>
            <w:pPr>
              <w:spacing w:after="0"/>
              <w:jc w:val="center"/>
            </w:pPr>
            <w:r>
              <w:rPr>
                <w:rFonts w:ascii="Times New Roman" w:hAnsi="Times New Roman" w:eastAsia="宋体"/>
                <w:sz w:val="17"/>
              </w:rPr>
              <w:t>0.000227</w:t>
            </w:r>
          </w:p>
        </w:tc>
      </w:tr>
    </w:tbl>
    <w:p>
      <w:pPr>
        <w:pStyle w:val="Heading2"/>
        <w:keepNext/>
      </w:pPr>
      <w:r>
        <w:rPr>
          <w:rFonts w:ascii="Times New Roman" w:hAnsi="Times New Roman" w:eastAsia="黑体"/>
          <w:b/>
        </w:rPr>
        <w:t>6.4 问题四：三区域雷击判定流程</w:t>
      </w:r>
    </w:p>
    <w:p>
      <w:pPr>
        <w:pStyle w:val="Heading3"/>
        <w:keepNext/>
      </w:pPr>
      <w:r>
        <w:rPr>
          <w:rFonts w:ascii="Times New Roman" w:hAnsi="Times New Roman" w:eastAsia="宋体"/>
          <w:b/>
        </w:rPr>
        <w:t>6.4.1 现场观测剩磁的初值反推</w:t>
      </w:r>
    </w:p>
    <w:p>
      <w:pPr>
        <w:spacing w:line="360" w:lineRule="auto" w:after="0"/>
        <w:ind w:firstLine="480"/>
        <w:jc w:val="both"/>
      </w:pPr>
      <w:r>
        <w:rPr>
          <w:rFonts w:ascii="Times New Roman" w:hAnsi="Times New Roman" w:eastAsia="宋体"/>
        </w:rPr>
        <w:t>问题四把前三问的模型结果转化为现场判定流程。给定现场观测剩磁 M_obs、样品类型 s 和检测延迟 t，先调用保留率函数 R_s(t)，反推出雷击发生后初始剩磁估计。</w:t>
      </w:r>
    </w:p>
    <w:p>
      <w:pPr>
        <w:spacing w:before="80" w:after="80"/>
        <w:jc w:val="center"/>
      </w:pPr>
      <w:r>
        <w:rPr>
          <w:rFonts w:ascii="Times New Roman" w:hAnsi="Times New Roman" w:eastAsia="宋体"/>
          <w:i/>
        </w:rPr>
        <w:t>hat M_0=M_obs/R_s(t)</w:t>
      </w:r>
    </w:p>
    <w:p>
      <w:pPr>
        <w:spacing w:line="360" w:lineRule="auto" w:after="0"/>
        <w:ind w:firstLine="480"/>
        <w:jc w:val="both"/>
      </w:pPr>
      <w:r>
        <w:rPr>
          <w:rFonts w:ascii="Times New Roman" w:hAnsi="Times New Roman" w:eastAsia="宋体"/>
        </w:rPr>
        <w:t>反推初值用于把延迟检测结果还原到近似初始尺度，从而与国标静态阈值进行比较。它是解释工具，不替代问题三中的动态阈值表。</w:t>
      </w:r>
    </w:p>
    <w:p>
      <w:pPr>
        <w:pStyle w:val="Heading3"/>
        <w:keepNext/>
      </w:pPr>
      <w:r>
        <w:rPr>
          <w:rFonts w:ascii="Times New Roman" w:hAnsi="Times New Roman" w:eastAsia="宋体"/>
          <w:b/>
        </w:rPr>
        <w:t>6.4.2 Bootstrap 反推区间估计</w:t>
      </w:r>
    </w:p>
    <w:p>
      <w:pPr>
        <w:spacing w:line="360" w:lineRule="auto" w:after="0"/>
        <w:ind w:firstLine="480"/>
        <w:jc w:val="both"/>
      </w:pPr>
      <w:r>
        <w:rPr>
          <w:rFonts w:ascii="Times New Roman" w:hAnsi="Times New Roman" w:eastAsia="宋体"/>
        </w:rPr>
        <w:t>由于同一样品在多个时间点上重复测量，普通逐点重抽样会破坏时间序列结构。本文采用按样品编号分层的 cluster block bootstrap：每次以样品个体为单位重抽，保留该样品完整的时间序列，再重新估计保留率和反推初值，得到 hat M_0 的95%区间。</w:t>
      </w:r>
    </w:p>
    <w:p>
      <w:pPr>
        <w:spacing w:before="120"/>
        <w:jc w:val="center"/>
      </w:pPr>
      <w:r>
        <w:drawing>
          <wp:inline xmlns:a="http://schemas.openxmlformats.org/drawingml/2006/main" xmlns:pic="http://schemas.openxmlformats.org/drawingml/2006/picture">
            <wp:extent cx="5328000" cy="3532991"/>
            <wp:docPr id="7" name="Picture 7"/>
            <wp:cNvGraphicFramePr>
              <a:graphicFrameLocks noChangeAspect="1"/>
            </wp:cNvGraphicFramePr>
            <a:graphic>
              <a:graphicData uri="http://schemas.openxmlformats.org/drawingml/2006/picture">
                <pic:pic>
                  <pic:nvPicPr>
                    <pic:cNvPr id="0" name="fig7_interval_width_delay_science.png"/>
                    <pic:cNvPicPr/>
                  </pic:nvPicPr>
                  <pic:blipFill>
                    <a:blip r:embed="rId15"/>
                    <a:stretch>
                      <a:fillRect/>
                    </a:stretch>
                  </pic:blipFill>
                  <pic:spPr>
                    <a:xfrm>
                      <a:off x="0" y="0"/>
                      <a:ext cx="5328000" cy="3532991"/>
                    </a:xfrm>
                    <a:prstGeom prst="rect"/>
                  </pic:spPr>
                </pic:pic>
              </a:graphicData>
            </a:graphic>
          </wp:inline>
        </w:drawing>
      </w:r>
    </w:p>
    <w:p>
      <w:pPr>
        <w:spacing w:before="40" w:after="120"/>
        <w:jc w:val="center"/>
      </w:pPr>
      <w:r>
        <w:rPr>
          <w:rFonts w:ascii="Times New Roman" w:hAnsi="Times New Roman" w:eastAsia="宋体"/>
          <w:sz w:val="21"/>
        </w:rPr>
        <w:t>图7 反推初值区间宽度曲线</w:t>
      </w:r>
    </w:p>
    <w:p>
      <w:pPr>
        <w:pStyle w:val="Heading3"/>
        <w:keepNext/>
      </w:pPr>
      <w:r>
        <w:rPr>
          <w:rFonts w:ascii="Times New Roman" w:hAnsi="Times New Roman" w:eastAsia="宋体"/>
          <w:b/>
        </w:rPr>
        <w:t>6.4.3 支持、灰区与不支持三区域判定规则</w:t>
      </w:r>
    </w:p>
    <w:p>
      <w:pPr>
        <w:spacing w:line="360" w:lineRule="auto" w:after="0"/>
        <w:ind w:firstLine="480"/>
        <w:jc w:val="both"/>
      </w:pPr>
      <w:r>
        <w:rPr>
          <w:rFonts w:ascii="Times New Roman" w:hAnsi="Times New Roman" w:eastAsia="宋体"/>
        </w:rPr>
        <w:t>设反推初值区间为 [hat M_0^L, hat M_0^U]。若 hat M_0^L 高于国标静态阈值，则判为支持曾遭雷击；若 hat M_0^U 低于静态阈值，则判为不支持曾遭雷击；其余情况进入灰区或证据不足区域。灰区不表示模型失败，而是提示需要结合现场痕迹、气象记录和复检结果综合判断。</w:t>
      </w:r>
    </w:p>
    <w:p>
      <w:pPr>
        <w:pStyle w:val="Heading3"/>
        <w:keepNext/>
      </w:pPr>
      <w:r>
        <w:rPr>
          <w:rFonts w:ascii="Times New Roman" w:hAnsi="Times New Roman" w:eastAsia="宋体"/>
          <w:b/>
        </w:rPr>
        <w:t>6.4.4 辅助概率与高风险提示</w:t>
      </w:r>
    </w:p>
    <w:p>
      <w:pPr>
        <w:spacing w:line="360" w:lineRule="auto" w:after="0"/>
        <w:ind w:firstLine="480"/>
        <w:jc w:val="both"/>
      </w:pPr>
      <w:r>
        <w:rPr>
          <w:rFonts w:ascii="Times New Roman" w:hAnsi="Times New Roman" w:eastAsia="宋体"/>
        </w:rPr>
        <w:t>在 bootstrap 样本中，可统计反推初值高于国标阈值的比例，作为辅助判定概率 P(雷击)。当检测延迟较长、区间宽度较大或样品接近阈值时，流程输出高风险提示，避免把不确定样品强行归入二分类结论。旧草稿中1320条非零天观测里，1080条被判为支持曾遭雷击，240条进入灰区或证据不足，并被标记为高风险。</w:t>
      </w:r>
    </w:p>
    <w:p>
      <w:pPr>
        <w:pStyle w:val="Heading3"/>
        <w:keepNext/>
      </w:pPr>
      <w:r>
        <w:rPr>
          <w:rFonts w:ascii="Times New Roman" w:hAnsi="Times New Roman" w:eastAsia="宋体"/>
          <w:b/>
        </w:rPr>
        <w:t>6.4.5 现场判定流程设计</w:t>
      </w:r>
    </w:p>
    <w:p>
      <w:pPr>
        <w:spacing w:line="360" w:lineRule="auto" w:after="0"/>
        <w:ind w:firstLine="480"/>
        <w:jc w:val="both"/>
      </w:pPr>
      <w:r>
        <w:rPr>
          <w:rFonts w:ascii="Times New Roman" w:hAnsi="Times New Roman" w:eastAsia="宋体"/>
        </w:rPr>
        <w:t>最终流程包括四步：第一，检查样品类型、单位、缺失值、异常值和检测延迟；第二，调用保留率模型预测当前剩磁或反推初值；第三，按照动态阈值公式进行阈值修正；第四，根据 bootstrap 区间、辅助概率和高风险提示输出三区域判定结果。该流程把衰减预测、阈值修正和不确定性表达连接起来，适合用于雷击调查中的延迟检测场景。</w:t>
      </w:r>
    </w:p>
    <w:p>
      <w:pPr>
        <w:spacing w:before="120"/>
        <w:jc w:val="center"/>
      </w:pPr>
      <w:r>
        <w:drawing>
          <wp:inline xmlns:a="http://schemas.openxmlformats.org/drawingml/2006/main" xmlns:pic="http://schemas.openxmlformats.org/drawingml/2006/picture">
            <wp:extent cx="5328000" cy="3520101"/>
            <wp:docPr id="8" name="Picture 8"/>
            <wp:cNvGraphicFramePr>
              <a:graphicFrameLocks noChangeAspect="1"/>
            </wp:cNvGraphicFramePr>
            <a:graphic>
              <a:graphicData uri="http://schemas.openxmlformats.org/drawingml/2006/picture">
                <pic:pic>
                  <pic:nvPicPr>
                    <pic:cNvPr id="0" name="fig8_flowchart_science.png"/>
                    <pic:cNvPicPr/>
                  </pic:nvPicPr>
                  <pic:blipFill>
                    <a:blip r:embed="rId16"/>
                    <a:stretch>
                      <a:fillRect/>
                    </a:stretch>
                  </pic:blipFill>
                  <pic:spPr>
                    <a:xfrm>
                      <a:off x="0" y="0"/>
                      <a:ext cx="5328000" cy="3520101"/>
                    </a:xfrm>
                    <a:prstGeom prst="rect"/>
                  </pic:spPr>
                </pic:pic>
              </a:graphicData>
            </a:graphic>
          </wp:inline>
        </w:drawing>
      </w:r>
    </w:p>
    <w:p>
      <w:pPr>
        <w:spacing w:before="40" w:after="120"/>
        <w:jc w:val="center"/>
      </w:pPr>
      <w:r>
        <w:rPr>
          <w:rFonts w:ascii="Times New Roman" w:hAnsi="Times New Roman" w:eastAsia="宋体"/>
          <w:sz w:val="21"/>
        </w:rPr>
        <w:t>图8 现场判定流程图</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pPr>
    <w:rPr>
      <w:rFonts w:ascii="Times New Roman" w:hAnsi="Times New Roman" w:eastAsia="宋体"/>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312" w:lineRule="auto"/>
      <w:outlineLvl w:val="0"/>
    </w:pPr>
    <w:rPr>
      <w:rFonts w:asciiTheme="majorHAnsi" w:eastAsiaTheme="majorEastAsia" w:hAnsiTheme="majorHAnsi" w:cstheme="majorBidi" w:ascii="Times New Roman" w:hAnsi="Times New Roman"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80" w:line="312" w:lineRule="auto"/>
      <w:outlineLvl w:val="1"/>
    </w:pPr>
    <w:rPr>
      <w:rFonts w:asciiTheme="majorHAnsi" w:eastAsiaTheme="majorEastAsia" w:hAnsiTheme="majorHAnsi" w:cstheme="majorBidi" w:ascii="Times New Roman" w:hAnsi="Times New Roman"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20" w:after="60" w:line="312" w:lineRule="auto"/>
      <w:outlineLvl w:val="2"/>
    </w:pPr>
    <w:rPr>
      <w:rFonts w:asciiTheme="majorHAnsi" w:eastAsiaTheme="majorEastAsia" w:hAnsiTheme="majorHAnsi" w:cstheme="majorBidi" w:ascii="Times New Roman" w:hAnsi="Times New Roman" w:eastAsia="宋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88" w:lineRule="auto" w:before="0"/>
      <w:contextualSpacing/>
    </w:pPr>
    <w:rPr>
      <w:rFonts w:asciiTheme="majorHAnsi" w:eastAsiaTheme="majorEastAsia" w:hAnsiTheme="majorHAnsi" w:cstheme="majorBidi" w:ascii="Times New Roman" w:hAnsi="Times New Roman" w:eastAsia="黑体"/>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模型建立与求解</dc:title>
  <dc:subject>B题剩磁法雷击判定预测论文子版块</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