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36"/>
        </w:rPr>
        <w:t>B题 剩磁法雷击判定预测</w:t>
        <w:br/>
        <w:t>论文大纲与对应草稿</w:t>
      </w:r>
    </w:p>
    <w:p>
      <w:pPr>
        <w:jc w:val="center"/>
      </w:pPr>
      <w:r>
        <w:rPr>
          <w:rFonts w:ascii="SimSun" w:hAnsi="SimSun" w:eastAsia="宋体"/>
          <w:b w:val="0"/>
          <w:sz w:val="20"/>
        </w:rPr>
        <w:t>资料基础：GitHub 仓库 2026CQUPTmathematical-modeling、附件1模拟实验数据、附件2天气数据、实验板块结果表与 figures2.1 论文图表。</w:t>
      </w:r>
    </w:p>
    <w:p>
      <w:pPr>
        <w:jc w:val="center"/>
      </w:pPr>
      <w:r>
        <w:rPr>
          <w:rFonts w:ascii="SimSun" w:hAnsi="SimSun" w:eastAsia="宋体"/>
          <w:b w:val="0"/>
          <w:sz w:val="20"/>
        </w:rPr>
        <w:t>用途：本文件用于论文阶段搭建正文骨架，后续可直接进入格式规范、语言润色和图表精排。</w:t>
      </w:r>
    </w:p>
    <w:p>
      <w:pPr>
        <w:pStyle w:val="Heading1"/>
      </w:pPr>
      <w:r>
        <w:t>一、仓库内容回忆与论文主线</w:t>
      </w:r>
    </w:p>
    <w:p>
      <w:r>
        <w:rPr>
          <w:rFonts w:ascii="SimSun" w:hAnsi="SimSun" w:eastAsia="宋体"/>
          <w:b w:val="0"/>
          <w:sz w:val="21"/>
        </w:rPr>
        <w:t>已读取的 GitHub 仓库内容显示，项目围绕 B 题“剩磁法雷击判定预测”展开，核心材料包括题面与 PDF 提取文本、原始数据附件、问题二/三/四建模说明、图表需求与数据来源说明、结果输出目录以及完整求解报告。仓库中的图表说明强调图表需要与结果表一致、可复跑、可追溯；论文草稿则已经形成“个体初值锚定 + 环境驱动指数衰减 + 动态阈值 + 三区域判定”的主线。</w:t>
      </w:r>
    </w:p>
    <w:p>
      <w:r>
        <w:rPr>
          <w:rFonts w:ascii="SimSun" w:hAnsi="SimSun" w:eastAsia="宋体"/>
          <w:b w:val="0"/>
          <w:sz w:val="21"/>
        </w:rPr>
        <w:t>本地实验结果进一步支持这一主线：附件1共有 1380 条观测，覆盖小号铁钉、小号铁夹、普通钢筋和锈蚀钢筋四类样品；模型在对数衰减量上的 R²=0.999409，RMSE=0.043721，换算到剩磁值后的 RMSE=0.050741 mT，MAPE=3.61%。</w:t>
      </w:r>
    </w:p>
    <w:p>
      <w:pPr>
        <w:pStyle w:val="Heading1"/>
      </w:pPr>
      <w:r>
        <w:t>二、论文总体大纲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28"/>
          </w:tcPr>
          <w:p>
            <w:r>
              <w:rPr>
                <w:rFonts w:ascii="SimSun" w:hAnsi="SimSun" w:eastAsia="宋体"/>
                <w:b/>
                <w:sz w:val="21"/>
              </w:rPr>
              <w:t>论文板块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/>
                <w:sz w:val="21"/>
              </w:rPr>
              <w:t>写作任务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/>
                <w:sz w:val="21"/>
              </w:rPr>
              <w:t>对应图表/数据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摘要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交代问题、模型体系、核心结果和判定流程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图1、图6、图8；关键指标 R²/RMSE/MAPE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1 问题重述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从雷击后剩磁衰减、环境影响、阈值修正和现场判定四个任务重述题意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题面、附件1、附件2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2 数据说明与预处理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说明样品类型、观测天数、天气变量、初值锚定和缺失异常处理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图1、图2、表1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3 模型假设与符号说明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统一 M_sj(t)、M_sj(0)、R_s(t)、Y_s(t)、Theta_s(t) 等符号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符号表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4 问题一：动态衰减模型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建立环境驱动指数衰减模型并预测第23-29天剩磁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图1、图2、图3、预测表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5 问题二：影响因素分析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用主效应、交互项和消融分析解释时间、温湿度、锈蚀差异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图4、图5、问题2结果表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6 问题三：动态阈值修正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把国标静态阈值映射为随检测延迟和环境变化衰减的动态阈值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图6、阈值关键点表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7 问题四：三区域判定流程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基于反推初值区间和辅助概率输出支持、灰区、不支持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图7、图8、问题4判定表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8 检验、敏感性与稳健性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汇总误差、单调性、消融、Bootstrap 区间宽度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模型参数与检验、问题3单调性、问题4统计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9 模型评价与推广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指出可解释性、可操作性和局限；给出现场推广建议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文字讨论</w:t>
            </w:r>
          </w:p>
        </w:tc>
      </w:tr>
      <w:tr>
        <w:tc>
          <w:tcPr>
            <w:tcW w:type="dxa" w:w="1928"/>
          </w:tcPr>
          <w:p>
            <w:r>
              <w:rPr>
                <w:rFonts w:ascii="SimSun" w:hAnsi="SimSun" w:eastAsia="宋体"/>
                <w:b w:val="0"/>
                <w:sz w:val="19"/>
              </w:rPr>
              <w:t>10 结论</w:t>
            </w:r>
          </w:p>
        </w:tc>
        <w:tc>
          <w:tcPr>
            <w:tcW w:type="dxa" w:w="4025"/>
          </w:tcPr>
          <w:p>
            <w:r>
              <w:rPr>
                <w:rFonts w:ascii="SimSun" w:hAnsi="SimSun" w:eastAsia="宋体"/>
                <w:b w:val="0"/>
                <w:sz w:val="19"/>
              </w:rPr>
              <w:t>凝练四问答案和工程化判定建议</w:t>
            </w:r>
          </w:p>
        </w:tc>
        <w:tc>
          <w:tcPr>
            <w:tcW w:type="dxa" w:w="2948"/>
          </w:tcPr>
          <w:p>
            <w:r>
              <w:rPr>
                <w:rFonts w:ascii="SimSun" w:hAnsi="SimSun" w:eastAsia="宋体"/>
                <w:b w:val="0"/>
                <w:sz w:val="19"/>
              </w:rPr>
              <w:t>无</w:t>
            </w:r>
          </w:p>
        </w:tc>
      </w:tr>
    </w:tbl>
    <w:p/>
    <w:p>
      <w:pPr>
        <w:pStyle w:val="Heading1"/>
      </w:pPr>
      <w:r>
        <w:t>三、对应正文草稿</w:t>
      </w:r>
    </w:p>
    <w:p>
      <w:pPr>
        <w:pStyle w:val="Heading2"/>
      </w:pPr>
      <w:r>
        <w:t>摘要（草稿）</w:t>
      </w:r>
    </w:p>
    <w:p>
      <w:r>
        <w:rPr>
          <w:rFonts w:ascii="SimSun" w:hAnsi="SimSun" w:eastAsia="宋体"/>
          <w:b w:val="0"/>
          <w:sz w:val="21"/>
        </w:rPr>
        <w:t>针对剩磁法雷击判定中剩磁随时间和环境衰减、固定阈值难以适应检测延迟的问题，本文以附件模拟实验数据和逐日天气数据为基础，建立了环境驱动的指数衰减模型。模型以样品第0天剩磁作为个体初值锚点，将相对衰减量表示为时间、累计温度、累计湿度及温湿耦合项的函数，并引入样品类型主效应和类型-时间交互项刻画不同材料的衰减差异。模型在对数衰减量上的拟合优度达到 R²=0.999409，剩磁尺度 RMSE 为 0.050741 mT，说明该模型能够较好重建四类样品的衰减轨迹。</w:t>
      </w:r>
    </w:p>
    <w:p>
      <w:r>
        <w:rPr>
          <w:rFonts w:ascii="SimSun" w:hAnsi="SimSun" w:eastAsia="宋体"/>
          <w:b w:val="0"/>
          <w:sz w:val="21"/>
        </w:rPr>
        <w:t>在此基础上，本文进一步分析了关键影响因素，发现时间效应、锈蚀钢筋效应、累计湿度效应和温湿交互效应均显著；随后将国标静态阈值修正为动态阈值 Theta_s(t)=Theta_s(0)R_s(t)，得到四类样品 1-90 天的动态阈值序列。最后，本文构建了基于 Bootstrap 反推初值区间的三区域判定流程，将现场检测结果划分为支持曾遭雷击、灰区/证据不足和不支持曾遭雷击三类。结果表明，该流程能够同时输出判定结论、辅助概率和高风险提示，为雷击调查中的延迟检测提供了可复核、可解释的决策支持工具。</w:t>
      </w:r>
    </w:p>
    <w:p>
      <w:r>
        <w:rPr>
          <w:rFonts w:ascii="SimSun" w:hAnsi="SimSun" w:eastAsia="宋体"/>
          <w:b w:val="0"/>
          <w:sz w:val="21"/>
        </w:rPr>
        <w:t>关键词：剩磁法；指数衰减；环境驱动；动态阈值；Bootstrap；三区域判定</w:t>
      </w:r>
    </w:p>
    <w:p>
      <w:pPr>
        <w:pStyle w:val="Heading2"/>
      </w:pPr>
      <w:r>
        <w:t>1 问题重述（草稿）</w:t>
      </w:r>
    </w:p>
    <w:p>
      <w:r>
        <w:rPr>
          <w:rFonts w:ascii="SimSun" w:hAnsi="SimSun" w:eastAsia="宋体"/>
          <w:b w:val="0"/>
          <w:sz w:val="21"/>
        </w:rPr>
        <w:t>雷击会使铁磁性构件产生一定剩磁，但剩磁并非静态量，而会随放置时间、温度、湿度、材料状态及锈蚀程度变化而衰减。若直接采用固定阈值判断构件是否曾遭雷击，可能忽略检测滞后带来的系统性偏差。题目要求基于模拟实验数据和天气数据，建立剩磁衰减预测模型，分析影响因素，修正判定阈值，并形成可用于现场的雷击判定流程。</w:t>
      </w:r>
    </w:p>
    <w:p>
      <w:r>
        <w:rPr>
          <w:rFonts w:ascii="SimSun" w:hAnsi="SimSun" w:eastAsia="宋体"/>
          <w:b w:val="0"/>
          <w:sz w:val="21"/>
        </w:rPr>
        <w:t>本文将四个问题统一到同一条建模链路中：首先根据样品初值和后续测量值建立动态衰减模型；其次对样品类型、时间、温湿度及交互效应进行显著性分析；再次将静态阈值转化为随时间衰减的动态阈值；最后利用观测剩磁反推初始剩磁区间，并据此构造三区域判定规则。</w:t>
      </w:r>
    </w:p>
    <w:p>
      <w:pPr>
        <w:pStyle w:val="Heading2"/>
      </w:pPr>
      <w:r>
        <w:t>2 数据说明与预处理（草稿）</w:t>
      </w:r>
    </w:p>
    <w:p>
      <w:r>
        <w:rPr>
          <w:rFonts w:ascii="SimSun" w:hAnsi="SimSun" w:eastAsia="宋体"/>
          <w:b w:val="0"/>
          <w:sz w:val="21"/>
        </w:rPr>
        <w:t>附件1包含四类样品的模拟实验观测，共1380条记录。小号铁钉和小号铁夹各包含460条记录，普通钢筋和锈蚀钢筋各包含230条记录；观测天数覆盖第0天至第90天。附件2给出对应时期逐日天气、气温和相对湿度，为刻画环境驱动衰减提供输入变量。</w:t>
      </w:r>
    </w:p>
    <w:p>
      <w:r>
        <w:rPr>
          <w:rFonts w:ascii="SimSun" w:hAnsi="SimSun" w:eastAsia="宋体"/>
          <w:b w:val="0"/>
          <w:sz w:val="21"/>
        </w:rPr>
        <w:t>预处理时，以“样品类型+编号”作为个体标识，将第0天剩磁 M_sj(0) 作为个体初始剩磁，并构造相对衰减量 Y_sj(t)=ln[M_sj(0)/M_sj(t)]。这种处理可以剥离不同样品初始磁化水平的差异，使模型更专注于衰减规律本身。天气变量按测量天数匹配，并构造累计温度偏差、累计湿度偏差及累计温湿交互项，以反映环境的累积作用。</w:t>
      </w:r>
    </w:p>
    <w:p>
      <w:pPr>
        <w:pStyle w:val="Heading2"/>
      </w:pPr>
      <w:r>
        <w:t>3 模型假设与符号说明（草稿）</w:t>
      </w:r>
    </w:p>
    <w:p>
      <w:r>
        <w:rPr>
          <w:rFonts w:ascii="SimSun" w:hAnsi="SimSun" w:eastAsia="宋体"/>
          <w:b w:val="0"/>
          <w:sz w:val="21"/>
        </w:rPr>
        <w:t>同一类型样品共享主要衰减机制，个体差异主要体现在初始剩磁 M_sj(0) 上。</w:t>
      </w:r>
    </w:p>
    <w:p>
      <w:r>
        <w:rPr>
          <w:rFonts w:ascii="SimSun" w:hAnsi="SimSun" w:eastAsia="宋体"/>
          <w:b w:val="0"/>
          <w:sz w:val="21"/>
        </w:rPr>
        <w:t>剩磁衰减满足指数衰减框架，环境变量通过影响对数衰减量 Y_s(t) 改变保留率 R_s(t)。</w:t>
      </w:r>
    </w:p>
    <w:p>
      <w:r>
        <w:rPr>
          <w:rFonts w:ascii="SimSun" w:hAnsi="SimSun" w:eastAsia="宋体"/>
          <w:b w:val="0"/>
          <w:sz w:val="21"/>
        </w:rPr>
        <w:t>温度、湿度对剩磁衰减具有累积作用，且高温高湿可能产生耦合影响。</w:t>
      </w:r>
    </w:p>
    <w:p>
      <w:r>
        <w:rPr>
          <w:rFonts w:ascii="SimSun" w:hAnsi="SimSun" w:eastAsia="宋体"/>
          <w:b w:val="0"/>
          <w:sz w:val="21"/>
        </w:rPr>
        <w:t>静态阈值在检测延迟后应按同类型保留率进行动态修正。</w:t>
      </w:r>
    </w:p>
    <w:p>
      <w:r>
        <w:rPr>
          <w:rFonts w:ascii="SimSun" w:hAnsi="SimSun" w:eastAsia="宋体"/>
          <w:b w:val="0"/>
          <w:sz w:val="21"/>
        </w:rPr>
        <w:t>反推初值的不确定性可由样品簇 Bootstrap 近似刻画。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SimSun" w:hAnsi="SimSun" w:eastAsia="宋体"/>
                <w:b/>
                <w:sz w:val="21"/>
              </w:rPr>
              <w:t>符号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M_sj(t)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类型 s 的第 j 个样品在第 t 天的剩磁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M_sj(0)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该样品第0天初始剩磁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Y_s(t)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类型 s 在第 t 天的对数衰减量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R_s(t)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剩磁保留率，R_s(t)=exp[-Y_s(t)]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Theta_s(t)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类型 s 在第 t 天的动态判定阈值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CT(t), CH(t), CTH(t)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累计温度、累计湿度和累计温湿交互变量</w:t>
            </w:r>
          </w:p>
        </w:tc>
      </w:tr>
    </w:tbl>
    <w:p/>
    <w:p>
      <w:pPr>
        <w:pStyle w:val="Heading2"/>
      </w:pPr>
      <w:r>
        <w:t>4 问题一：动态衰减模型与预测（草稿）</w:t>
      </w:r>
    </w:p>
    <w:p>
      <w:r>
        <w:rPr>
          <w:rFonts w:ascii="SimSun" w:hAnsi="SimSun" w:eastAsia="宋体"/>
          <w:b w:val="0"/>
          <w:sz w:val="21"/>
        </w:rPr>
        <w:t>设 M_sj(t)=M_sj(0)exp[-Y_s(t)]。以普通钢筋作为基准类型，将样品类型虚拟变量、标准化时间、时间二次项、累计温度、累计湿度、累计温湿交互项以及类型-时间交互项纳入线性模型。该设计既保留指数衰减的物理可解释性，又允许不同材料在衰减速度上存在系统差异。</w:t>
      </w:r>
    </w:p>
    <w:p>
      <w:r>
        <w:rPr>
          <w:rFonts w:ascii="SimSun" w:hAnsi="SimSun" w:eastAsia="宋体"/>
          <w:b w:val="0"/>
          <w:sz w:val="21"/>
        </w:rPr>
        <w:t>模型结果显示，对数尺度 R²=0.999409，RMSE=0.043721；换算回剩磁尺度后，RMSE=0.050741 mT，MAE=0.035562 mT，MAPE=3.61%。因此，该模型可作为后续预测、阈值修正和反推判定的公共基础模型。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</w:tcPr>
          <w:p>
            <w:r>
              <w:rPr>
                <w:rFonts w:ascii="SimSun" w:hAnsi="SimSun" w:eastAsia="宋体"/>
                <w:b/>
                <w:sz w:val="21"/>
              </w:rPr>
              <w:t>测量天数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/>
                <w:sz w:val="21"/>
              </w:rPr>
              <w:t>小号铁钉预测剩磁(mT)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/>
                <w:sz w:val="21"/>
              </w:rPr>
              <w:t>小号铁夹预测剩磁(mT)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/>
                <w:sz w:val="21"/>
              </w:rPr>
              <w:t>普通钢筋预测剩磁(mT)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/>
                <w:sz w:val="21"/>
              </w:rPr>
              <w:t>锈蚀钢筋预测剩磁(mT)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23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0.5185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0.4503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0.9585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0.5911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0.4831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0.4177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0.9064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0.5425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25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0.4461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0.384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0.8496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0.4935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26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0.4058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0.3477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0.7844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0.4422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27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0.3807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0.3248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0.7469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0.4086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28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0.3558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0.3022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0.7086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0.3762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29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0.323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0.2731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0.6528</w:t>
            </w:r>
          </w:p>
        </w:tc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19"/>
              </w:rPr>
              <w:t>0.3364</w:t>
            </w:r>
          </w:p>
        </w:tc>
      </w:tr>
    </w:tbl>
    <w:p/>
    <w:p>
      <w:pPr>
        <w:pStyle w:val="Heading2"/>
      </w:pPr>
      <w:r>
        <w:t>5 问题二：关键影响因素分析（草稿）</w:t>
      </w:r>
    </w:p>
    <w:p>
      <w:r>
        <w:rPr>
          <w:rFonts w:ascii="SimSun" w:hAnsi="SimSun" w:eastAsia="宋体"/>
          <w:b w:val="0"/>
          <w:sz w:val="21"/>
        </w:rPr>
        <w:t>从主效应与交互项结果看，时间主效应和时间二次项均显著，说明剩磁衰减不仅随时间推进而增强，而且存在非线性趋势。锈蚀钢筋主效应显著为正，且锈蚀钢筋与时间的交互项系数为0.778232，表明锈蚀不仅改变初始衰减水平，还会放大长期检测延迟下的衰减风险。</w:t>
      </w:r>
    </w:p>
    <w:p>
      <w:r>
        <w:rPr>
          <w:rFonts w:ascii="SimSun" w:hAnsi="SimSun" w:eastAsia="宋体"/>
          <w:b w:val="0"/>
          <w:sz w:val="21"/>
        </w:rPr>
        <w:t>环境变量方面，累计湿度主效应为正，累计温湿交互项也显著为正，说明湿度累积和高温高湿耦合会提高剩磁衰减程度。累计温度在去除时间趋势后的主效应为负，提示单独温度效应与时间趋势、湿度耦合之间存在方向差异，正文中应避免简单解释为“温度越高衰减越快”，而应强调环境变量需要在共同模型中解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361"/>
          </w:tcPr>
          <w:p>
            <w:r>
              <w:rPr>
                <w:rFonts w:ascii="SimSun" w:hAnsi="SimSun" w:eastAsia="宋体"/>
                <w:b/>
                <w:sz w:val="21"/>
              </w:rPr>
              <w:t>模型版本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/>
                <w:sz w:val="21"/>
              </w:rPr>
              <w:t>R2_log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/>
                <w:sz w:val="21"/>
              </w:rPr>
              <w:t>RMSE_log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/>
                <w:sz w:val="21"/>
              </w:rPr>
              <w:t>RMSE_m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/>
                <w:sz w:val="21"/>
              </w:rPr>
              <w:t>MAE_m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/>
                <w:sz w:val="21"/>
              </w:rPr>
              <w:t>MAPE_m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/>
                <w:sz w:val="21"/>
              </w:rPr>
              <w:t>末项系数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/>
                <w:sz w:val="21"/>
              </w:rPr>
              <w:t>末项p值</w:t>
            </w:r>
          </w:p>
        </w:tc>
      </w:tr>
      <w:tr>
        <w:tc>
          <w:tcPr>
            <w:tcW w:type="dxa" w:w="1361"/>
          </w:tcPr>
          <w:p>
            <w:r>
              <w:rPr>
                <w:rFonts w:ascii="SimSun" w:hAnsi="SimSun" w:eastAsia="宋体"/>
                <w:b w:val="0"/>
                <w:sz w:val="19"/>
              </w:rPr>
              <w:t>无交互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0.999379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0.044803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0.049519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0.03594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0.036949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nan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nan</w:t>
            </w:r>
          </w:p>
        </w:tc>
      </w:tr>
      <w:tr>
        <w:tc>
          <w:tcPr>
            <w:tcW w:type="dxa" w:w="1361"/>
          </w:tcPr>
          <w:p>
            <w:r>
              <w:rPr>
                <w:rFonts w:ascii="SimSun" w:hAnsi="SimSun" w:eastAsia="宋体"/>
                <w:b w:val="0"/>
                <w:sz w:val="19"/>
              </w:rPr>
              <w:t>对称交互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0.999409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0.043721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0.050741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0.035562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0.036074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0.026023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0.0</w:t>
            </w:r>
          </w:p>
        </w:tc>
      </w:tr>
      <w:tr>
        <w:tc>
          <w:tcPr>
            <w:tcW w:type="dxa" w:w="1361"/>
          </w:tcPr>
          <w:p>
            <w:r>
              <w:rPr>
                <w:rFonts w:ascii="SimSun" w:hAnsi="SimSun" w:eastAsia="宋体"/>
                <w:b w:val="0"/>
                <w:sz w:val="19"/>
              </w:rPr>
              <w:t>门槛交互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0.999444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0.042398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0.051251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0.036867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0.035107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-0.064942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0.0</w:t>
            </w:r>
          </w:p>
        </w:tc>
      </w:tr>
    </w:tbl>
    <w:p/>
    <w:p>
      <w:pPr>
        <w:pStyle w:val="Heading2"/>
      </w:pPr>
      <w:r>
        <w:t>6 问题三：动态阈值修正（草稿）</w:t>
      </w:r>
    </w:p>
    <w:p>
      <w:r>
        <w:rPr>
          <w:rFonts w:ascii="SimSun" w:hAnsi="SimSun" w:eastAsia="宋体"/>
          <w:b w:val="0"/>
          <w:sz w:val="21"/>
        </w:rPr>
        <w:t>国标静态阈值适用于近似即时检测场景，但当检测发生在雷击后若干天，样品剩磁已经衰减，固定阈值会提高漏判风险。本文将静态阈值 Theta_s(0) 与保留率 R_s(t) 相乘，得到动态阈值 Theta_s(t)=Theta_s(0)R_s(t)。其中，小尺寸铁件采用 1.0 mT 作为初始阈值，钢筋类采用 1.5 mT 作为初始阈值。</w:t>
      </w:r>
    </w:p>
    <w:p>
      <w:r>
        <w:rPr>
          <w:rFonts w:ascii="SimSun" w:hAnsi="SimSun" w:eastAsia="宋体"/>
          <w:b w:val="0"/>
          <w:sz w:val="21"/>
        </w:rPr>
        <w:t>动态阈值结果显示，四类样品阈值序列均单调不增；例如小号铁钉阈值由第1天0.875958 mT 下降到第90天0.000580 mT，锈蚀钢筋由第1天1.306901 mT 下降到第90天0.000227 mT。这说明检测延迟越长，若仍沿用静态阈值，越容易低估曾遭雷击的可能性。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94"/>
          </w:tcPr>
          <w:p>
            <w:r>
              <w:rPr>
                <w:rFonts w:ascii="SimSun" w:hAnsi="SimSun" w:eastAsia="宋体"/>
                <w:b/>
                <w:sz w:val="21"/>
              </w:rPr>
              <w:t>天数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/>
                <w:sz w:val="21"/>
              </w:rPr>
              <w:t>天气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/>
                <w:sz w:val="21"/>
              </w:rPr>
              <w:t>气温(℃)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/>
                <w:sz w:val="21"/>
              </w:rPr>
              <w:t>湿度(%)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/>
                <w:sz w:val="21"/>
              </w:rPr>
              <w:t>小号铁钉动态阈值(mT)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/>
                <w:sz w:val="21"/>
              </w:rPr>
              <w:t>小号铁夹动态阈值(mT)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/>
                <w:sz w:val="21"/>
              </w:rPr>
              <w:t>普通钢筋动态阈值(mT)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/>
                <w:sz w:val="21"/>
              </w:rPr>
              <w:t>锈蚀钢筋动态阈值(mT)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/>
                <w:sz w:val="21"/>
              </w:rPr>
              <w:t>小号铁钉类型均值预测剩磁(mT)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/>
                <w:sz w:val="21"/>
              </w:rPr>
              <w:t>小号铁夹类型均值预测剩磁(mT)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/>
                <w:sz w:val="21"/>
              </w:rPr>
              <w:t>普通钢筋类型均值预测剩磁(mT)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/>
                <w:sz w:val="21"/>
              </w:rPr>
              <w:t>锈蚀钢筋类型均值预测剩磁(mT)</w:t>
            </w:r>
          </w:p>
        </w:tc>
      </w:tr>
      <w:tr>
        <w:tc>
          <w:tcPr>
            <w:tcW w:type="dxa" w:w="794"/>
          </w:tcPr>
          <w:p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小雨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9.0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90.0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0.875958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0.87411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1.319551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1.306901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2.301099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2.203954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3.064825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3.653467</w:t>
            </w:r>
          </w:p>
        </w:tc>
      </w:tr>
      <w:tr>
        <w:tc>
          <w:tcPr>
            <w:tcW w:type="dxa" w:w="794"/>
          </w:tcPr>
          <w:p>
            <w:r>
              <w:rPr>
                <w:rFonts w:ascii="SimSun" w:hAnsi="SimSun" w:eastAsia="宋体"/>
                <w:b w:val="0"/>
                <w:sz w:val="19"/>
              </w:rPr>
              <w:t>7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多云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8.5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75.0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0.57979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0.563319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0.955061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0.790295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1.52308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1.420335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2.21825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2.209284</w:t>
            </w:r>
          </w:p>
        </w:tc>
      </w:tr>
      <w:tr>
        <w:tc>
          <w:tcPr>
            <w:tcW w:type="dxa" w:w="794"/>
          </w:tcPr>
          <w:p>
            <w:r>
              <w:rPr>
                <w:rFonts w:ascii="SimSun" w:hAnsi="SimSun" w:eastAsia="宋体"/>
                <w:b w:val="0"/>
                <w:sz w:val="19"/>
              </w:rPr>
              <w:t>15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中度雾霾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11.5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80.0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0.345197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0.323657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0.640595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0.417123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0.906815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0.816059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1.487863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1.166074</w:t>
            </w:r>
          </w:p>
        </w:tc>
      </w:tr>
      <w:tr>
        <w:tc>
          <w:tcPr>
            <w:tcW w:type="dxa" w:w="794"/>
          </w:tcPr>
          <w:p>
            <w:r>
              <w:rPr>
                <w:rFonts w:ascii="SimSun" w:hAnsi="SimSun" w:eastAsia="宋体"/>
                <w:b w:val="0"/>
                <w:sz w:val="19"/>
              </w:rPr>
              <w:t>22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晴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8.0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70.0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0.212358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0.192999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0.437394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0.230932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0.557855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0.486621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1.015902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0.645575</w:t>
            </w:r>
          </w:p>
        </w:tc>
      </w:tr>
      <w:tr>
        <w:tc>
          <w:tcPr>
            <w:tcW w:type="dxa" w:w="794"/>
          </w:tcPr>
          <w:p>
            <w:r>
              <w:rPr>
                <w:rFonts w:ascii="SimSun" w:hAnsi="SimSun" w:eastAsia="宋体"/>
                <w:b w:val="0"/>
                <w:sz w:val="19"/>
              </w:rPr>
              <w:t>30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小雨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10.0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85.0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0.111506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0.097795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0.258735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0.107495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0.292919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0.246577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0.600946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0.300506</w:t>
            </w:r>
          </w:p>
        </w:tc>
      </w:tr>
      <w:tr>
        <w:tc>
          <w:tcPr>
            <w:tcW w:type="dxa" w:w="794"/>
          </w:tcPr>
          <w:p>
            <w:r>
              <w:rPr>
                <w:rFonts w:ascii="SimSun" w:hAnsi="SimSun" w:eastAsia="宋体"/>
                <w:b w:val="0"/>
                <w:sz w:val="19"/>
              </w:rPr>
              <w:t>58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分散阵雨转多云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18.0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80.0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0.011383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0.008813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0.040082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0.007198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0.029901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0.022221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0.093095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0.020122</w:t>
            </w:r>
          </w:p>
        </w:tc>
      </w:tr>
      <w:tr>
        <w:tc>
          <w:tcPr>
            <w:tcW w:type="dxa" w:w="794"/>
          </w:tcPr>
          <w:p>
            <w:r>
              <w:rPr>
                <w:rFonts w:ascii="SimSun" w:hAnsi="SimSun" w:eastAsia="宋体"/>
                <w:b w:val="0"/>
                <w:sz w:val="19"/>
              </w:rPr>
              <w:t>90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阴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20.0</w:t>
            </w:r>
          </w:p>
        </w:tc>
        <w:tc>
          <w:tcPr>
            <w:tcW w:type="dxa" w:w="1020"/>
          </w:tcPr>
          <w:p>
            <w:r>
              <w:rPr>
                <w:rFonts w:ascii="SimSun" w:hAnsi="SimSun" w:eastAsia="宋体"/>
                <w:b w:val="0"/>
                <w:sz w:val="19"/>
              </w:rPr>
              <w:t>80.0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0.00058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0.000389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0.00329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宋体"/>
                <w:b w:val="0"/>
                <w:sz w:val="19"/>
              </w:rPr>
              <w:t>0.000227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0.001524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0.000982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0.007641</w:t>
            </w:r>
          </w:p>
        </w:tc>
        <w:tc>
          <w:tcPr>
            <w:tcW w:type="dxa" w:w="1474"/>
          </w:tcPr>
          <w:p>
            <w:r>
              <w:rPr>
                <w:rFonts w:ascii="SimSun" w:hAnsi="SimSun" w:eastAsia="宋体"/>
                <w:b w:val="0"/>
                <w:sz w:val="19"/>
              </w:rPr>
              <w:t>0.000633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</w:tcPr>
          <w:p>
            <w:r>
              <w:rPr>
                <w:rFonts w:ascii="SimSun" w:hAnsi="SimSun" w:eastAsia="宋体"/>
                <w:b/>
                <w:sz w:val="21"/>
              </w:rPr>
              <w:t>样品类型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/>
                <w:sz w:val="21"/>
              </w:rPr>
              <w:t>是否单调不增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/>
                <w:sz w:val="21"/>
              </w:rPr>
              <w:t>上升次数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/>
                <w:sz w:val="21"/>
              </w:rPr>
              <w:t>首日阈值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/>
                <w:sz w:val="21"/>
              </w:rPr>
              <w:t>末日阈值</w:t>
            </w:r>
          </w:p>
        </w:tc>
      </w:tr>
      <w:tr>
        <w:tc>
          <w:tcPr>
            <w:tcW w:type="dxa" w:w="1587"/>
          </w:tcPr>
          <w:p>
            <w:r>
              <w:rPr>
                <w:rFonts w:ascii="SimSun" w:hAnsi="SimSun" w:eastAsia="宋体"/>
                <w:b w:val="0"/>
                <w:sz w:val="19"/>
              </w:rPr>
              <w:t>小号铁钉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0.875958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0.00058</w:t>
            </w:r>
          </w:p>
        </w:tc>
      </w:tr>
      <w:tr>
        <w:tc>
          <w:tcPr>
            <w:tcW w:type="dxa" w:w="1587"/>
          </w:tcPr>
          <w:p>
            <w:r>
              <w:rPr>
                <w:rFonts w:ascii="SimSun" w:hAnsi="SimSun" w:eastAsia="宋体"/>
                <w:b w:val="0"/>
                <w:sz w:val="19"/>
              </w:rPr>
              <w:t>小号铁夹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0.87411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0.000389</w:t>
            </w:r>
          </w:p>
        </w:tc>
      </w:tr>
      <w:tr>
        <w:tc>
          <w:tcPr>
            <w:tcW w:type="dxa" w:w="1587"/>
          </w:tcPr>
          <w:p>
            <w:r>
              <w:rPr>
                <w:rFonts w:ascii="SimSun" w:hAnsi="SimSun" w:eastAsia="宋体"/>
                <w:b w:val="0"/>
                <w:sz w:val="19"/>
              </w:rPr>
              <w:t>普通钢筋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1.319551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0.00329</w:t>
            </w:r>
          </w:p>
        </w:tc>
      </w:tr>
      <w:tr>
        <w:tc>
          <w:tcPr>
            <w:tcW w:type="dxa" w:w="1587"/>
          </w:tcPr>
          <w:p>
            <w:r>
              <w:rPr>
                <w:rFonts w:ascii="SimSun" w:hAnsi="SimSun" w:eastAsia="宋体"/>
                <w:b w:val="0"/>
                <w:sz w:val="19"/>
              </w:rPr>
              <w:t>锈蚀钢筋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是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1.306901</w:t>
            </w:r>
          </w:p>
        </w:tc>
        <w:tc>
          <w:tcPr>
            <w:tcW w:type="dxa" w:w="1247"/>
          </w:tcPr>
          <w:p>
            <w:r>
              <w:rPr>
                <w:rFonts w:ascii="SimSun" w:hAnsi="SimSun" w:eastAsia="宋体"/>
                <w:b w:val="0"/>
                <w:sz w:val="19"/>
              </w:rPr>
              <w:t>0.000227</w:t>
            </w:r>
          </w:p>
        </w:tc>
      </w:tr>
    </w:tbl>
    <w:p/>
    <w:p>
      <w:pPr>
        <w:pStyle w:val="Heading2"/>
      </w:pPr>
      <w:r>
        <w:t>7 问题四：三区域判定流程（草稿）</w:t>
      </w:r>
    </w:p>
    <w:p>
      <w:r>
        <w:rPr>
          <w:rFonts w:ascii="SimSun" w:hAnsi="SimSun" w:eastAsia="宋体"/>
          <w:b w:val="0"/>
          <w:sz w:val="21"/>
        </w:rPr>
        <w:t>问题四将现场检测值 M_obs 与模型保留率 R_s(t) 结合，反推初始剩磁 M0_hat=M_obs/R_s(t)，再用 Bootstrap 生成反推初值的95%区间。若区间下界高于静态阈值，则判为支持曾遭雷击；若区间上界低于阈值，则判为不支持；其余情况归入灰区/证据不足，并建议补充证据或复检。</w:t>
      </w:r>
    </w:p>
    <w:p>
      <w:r>
        <w:rPr>
          <w:rFonts w:ascii="SimSun" w:hAnsi="SimSun" w:eastAsia="宋体"/>
          <w:b w:val="0"/>
          <w:sz w:val="21"/>
        </w:rPr>
        <w:t>在当前模拟数据的1320条非零天观测中，1080条被判为支持曾遭雷击，240条进入灰区/证据不足；高风险提示中，240条被标记为高风险。这一分布符合模拟实验以雷击后剩磁样本为主的背景，也表明长延迟、低保留率场景需要谨慎解释。</w:t>
      </w:r>
    </w:p>
    <w:p>
      <w:pPr>
        <w:pStyle w:val="Heading2"/>
      </w:pPr>
      <w:r>
        <w:t>8 模型检验、稳健性与图表组织（草稿）</w:t>
      </w:r>
    </w:p>
    <w:p>
      <w:r>
        <w:rPr>
          <w:rFonts w:ascii="SimSun" w:hAnsi="SimSun" w:eastAsia="宋体"/>
          <w:b w:val="0"/>
          <w:sz w:val="21"/>
        </w:rPr>
        <w:t>模型检验应从三个层面展开：第一，拟合误差层面报告对数尺度和剩磁尺度误差，说明模型对四类样品均有较小误差；第二，结构稳健性层面报告问题二消融分析，比较无交互、对称交互和门槛交互模型；第三，决策稳健性层面报告动态阈值单调性和反推初值区间宽度，说明判定流程在可解释性与不确定性控制之间取得平衡。</w:t>
      </w:r>
    </w:p>
    <w:p>
      <w:r>
        <w:rPr>
          <w:rFonts w:ascii="SimSun" w:hAnsi="SimSun" w:eastAsia="宋体"/>
          <w:b w:val="0"/>
          <w:sz w:val="21"/>
        </w:rPr>
        <w:t>Academic Plotting 图表风格建议：正文图采用 figures2.1 的中文宋体版本，统一白底、浅灰网格、Nature/Science 风格配色；数值折线图优先展示95%置信区间，模型比较图展示误差棒或消融指标，流程图保持简洁，以便和论文正文的工程化判定流程对齐。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</w:tcPr>
          <w:p>
            <w:r>
              <w:rPr>
                <w:rFonts w:ascii="SimSun" w:hAnsi="SimSun" w:eastAsia="宋体"/>
                <w:b/>
                <w:sz w:val="21"/>
              </w:rPr>
              <w:t>编号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/>
                <w:sz w:val="21"/>
              </w:rPr>
              <w:t>图名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/>
                <w:sz w:val="21"/>
              </w:rPr>
              <w:t>建议位置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/>
                <w:sz w:val="21"/>
              </w:rPr>
              <w:t>写作作用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宋体"/>
                <w:b w:val="0"/>
                <w:sz w:val="19"/>
              </w:rPr>
              <w:t>图1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 w:val="0"/>
                <w:sz w:val="19"/>
              </w:rPr>
              <w:t>原始剩磁衰减曲线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数据预处理与问题一开头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 w:val="0"/>
                <w:sz w:val="19"/>
              </w:rPr>
              <w:t>展示四类样品剩磁随天数下降的总体趋势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宋体"/>
                <w:b w:val="0"/>
                <w:sz w:val="19"/>
              </w:rPr>
              <w:t>图2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 w:val="0"/>
                <w:sz w:val="19"/>
              </w:rPr>
              <w:t>归一化保留率及95%置信区间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问题一模型建立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 w:val="0"/>
                <w:sz w:val="19"/>
              </w:rPr>
              <w:t>剥离初值差异，突出衰减规律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宋体"/>
                <w:b w:val="0"/>
                <w:sz w:val="19"/>
              </w:rPr>
              <w:t>图3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 w:val="0"/>
                <w:sz w:val="19"/>
              </w:rPr>
              <w:t>初始剩磁与90天保留率关系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问题一检验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 w:val="0"/>
                <w:sz w:val="19"/>
              </w:rPr>
              <w:t>说明初值与长期保留率关系不应被简单混同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宋体"/>
                <w:b w:val="0"/>
                <w:sz w:val="19"/>
              </w:rPr>
              <w:t>图4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 w:val="0"/>
                <w:sz w:val="19"/>
              </w:rPr>
              <w:t>主效应与交互效应系数图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问题二因素分析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 w:val="0"/>
                <w:sz w:val="19"/>
              </w:rPr>
              <w:t>展示关键变量方向、大小和显著性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宋体"/>
                <w:b w:val="0"/>
                <w:sz w:val="19"/>
              </w:rPr>
              <w:t>图5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 w:val="0"/>
                <w:sz w:val="19"/>
              </w:rPr>
              <w:t>消融实验对比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问题二稳健性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 w:val="0"/>
                <w:sz w:val="19"/>
              </w:rPr>
              <w:t>比较交互项构造对误差的影响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宋体"/>
                <w:b w:val="0"/>
                <w:sz w:val="19"/>
              </w:rPr>
              <w:t>图6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 w:val="0"/>
                <w:sz w:val="19"/>
              </w:rPr>
              <w:t>动态阈值曲线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问题三核心结果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 w:val="0"/>
                <w:sz w:val="19"/>
              </w:rPr>
              <w:t>展示固定阈值如何随检测延迟被修正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宋体"/>
                <w:b w:val="0"/>
                <w:sz w:val="19"/>
              </w:rPr>
              <w:t>图7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 w:val="0"/>
                <w:sz w:val="19"/>
              </w:rPr>
              <w:t>反推初值区间宽度曲线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问题四不确定性分析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 w:val="0"/>
                <w:sz w:val="19"/>
              </w:rPr>
              <w:t>说明长延迟检测的不确定性变化</w:t>
            </w:r>
          </w:p>
        </w:tc>
      </w:tr>
      <w:tr>
        <w:tc>
          <w:tcPr>
            <w:tcW w:type="dxa" w:w="850"/>
          </w:tcPr>
          <w:p>
            <w:r>
              <w:rPr>
                <w:rFonts w:ascii="SimSun" w:hAnsi="SimSun" w:eastAsia="宋体"/>
                <w:b w:val="0"/>
                <w:sz w:val="19"/>
              </w:rPr>
              <w:t>图8</w:t>
            </w:r>
          </w:p>
        </w:tc>
        <w:tc>
          <w:tcPr>
            <w:tcW w:type="dxa" w:w="2381"/>
          </w:tcPr>
          <w:p>
            <w:r>
              <w:rPr>
                <w:rFonts w:ascii="SimSun" w:hAnsi="SimSun" w:eastAsia="宋体"/>
                <w:b w:val="0"/>
                <w:sz w:val="19"/>
              </w:rPr>
              <w:t>现场判定流程图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问题四方法总结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宋体"/>
                <w:b w:val="0"/>
                <w:sz w:val="19"/>
              </w:rPr>
              <w:t>把模型转化为可执行判定流程</w:t>
            </w:r>
          </w:p>
        </w:tc>
      </w:tr>
    </w:tbl>
    <w:p/>
    <w:p>
      <w:pPr>
        <w:pStyle w:val="Heading2"/>
      </w:pPr>
      <w:r>
        <w:t>9 模型评价与推广（草稿）</w:t>
      </w:r>
    </w:p>
    <w:p>
      <w:r>
        <w:rPr>
          <w:rFonts w:ascii="SimSun" w:hAnsi="SimSun" w:eastAsia="宋体"/>
          <w:b w:val="0"/>
          <w:sz w:val="21"/>
        </w:rPr>
        <w:t>本文模型的优点在于：一是以个体初值锚定消除了样品初始磁化差异，使衰减模型更稳定；二是把时间和环境累积效应纳入统一模型，具备较强可解释性；三是将阈值修正和三区域判定结合，能直接服务现场判定，并通过辅助概率和高风险提示表达不确定性。</w:t>
      </w:r>
    </w:p>
    <w:p>
      <w:r>
        <w:rPr>
          <w:rFonts w:ascii="SimSun" w:hAnsi="SimSun" w:eastAsia="宋体"/>
          <w:b w:val="0"/>
          <w:sz w:val="21"/>
        </w:rPr>
        <w:t>模型的局限主要来自数据来源和适用范围。当前数据为模拟实验数据，天气变量只包含温度和湿度，尚未纳入风速、降雨强度、构件几何形状、磁测仪器误差等因素。若推广到真实现场，应进一步收集真实雷击案例和非雷击对照样本，并对动态阈值进行外部验证。</w:t>
      </w:r>
    </w:p>
    <w:p>
      <w:pPr>
        <w:pStyle w:val="Heading2"/>
      </w:pPr>
      <w:r>
        <w:t>10 结论（草稿）</w:t>
      </w:r>
    </w:p>
    <w:p>
      <w:r>
        <w:rPr>
          <w:rFonts w:ascii="SimSun" w:hAnsi="SimSun" w:eastAsia="宋体"/>
          <w:b w:val="0"/>
          <w:sz w:val="21"/>
        </w:rPr>
        <w:t>本文围绕剩磁法雷击判定预测问题，建立了环境驱动指数衰减模型，完成了剩磁预测、影响因素分析、动态阈值修正和三区域判定流程设计。结果表明，时间、锈蚀状态、湿度累积及温湿耦合是影响剩磁衰减的重要因素；动态阈值能够有效补偿检测延迟带来的阈值偏移；基于 Bootstrap 反推区间的三区域判定流程能够给出更稳健的现场决策建议。</w:t>
      </w:r>
    </w:p>
    <w:p>
      <w:pPr>
        <w:pStyle w:val="Heading1"/>
      </w:pPr>
      <w:r>
        <w:t>四、论文图表嵌入预览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485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w_decay_sci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8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宋体"/>
          <w:b w:val="0"/>
          <w:sz w:val="19"/>
        </w:rPr>
        <w:t>图1 原始剩磁衰减曲线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485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ormalized_retention_sci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8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宋体"/>
          <w:b w:val="0"/>
          <w:sz w:val="19"/>
        </w:rPr>
        <w:t>图2 归一化保留率及95%置信区间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712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0_vs_m90_ratio_sci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71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宋体"/>
          <w:b w:val="0"/>
          <w:sz w:val="19"/>
        </w:rPr>
        <w:t>图3 初始剩磁与90天保留率关系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737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oblem2_coefficients_sci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7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宋体"/>
          <w:b w:val="0"/>
          <w:sz w:val="19"/>
        </w:rPr>
        <w:t>图4 主效应与交互效应系数图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5393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oblem2_ablation_sci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3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宋体"/>
          <w:b w:val="0"/>
          <w:sz w:val="19"/>
        </w:rPr>
        <w:t>图5 消融实验对比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485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ynamic_thresholds_sci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8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宋体"/>
          <w:b w:val="0"/>
          <w:sz w:val="19"/>
        </w:rPr>
        <w:t>图6 动态阈值曲线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485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nterval_width_delay_sci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8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宋体"/>
          <w:b w:val="0"/>
          <w:sz w:val="19"/>
        </w:rPr>
        <w:t>图7 反推初值区间宽度曲线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4725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lowchart_sci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7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宋体"/>
          <w:b w:val="0"/>
          <w:sz w:val="19"/>
        </w:rPr>
        <w:t>图8 现场判定流程图</w:t>
      </w:r>
    </w:p>
    <w:p>
      <w:pPr>
        <w:pStyle w:val="Heading1"/>
      </w:pPr>
      <w:r>
        <w:t>五、下一步写作建议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SimSun" w:hAnsi="SimSun" w:eastAsia="宋体"/>
                <w:b/>
                <w:sz w:val="21"/>
              </w:rPr>
              <w:t>任务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补齐公式编号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将正文中的核心公式统一编号，保证符号表和正文一致。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压缩表格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正式论文中只保留关键表，完整 1-90 天阈值表放入附录。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统一图题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图题按“图x 主题”格式，正文首次引用每张图。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加入参考文献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补充剩磁法雷击判定、磁滞/剩磁衰减、Bootstrap 区间估计相关文献。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宋体"/>
                <w:b w:val="0"/>
                <w:sz w:val="19"/>
              </w:rPr>
              <w:t>按格式规范排版</w:t>
            </w:r>
          </w:p>
        </w:tc>
        <w:tc>
          <w:tcPr>
            <w:tcW w:type="dxa" w:w="6520"/>
          </w:tcPr>
          <w:p>
            <w:r>
              <w:rPr>
                <w:rFonts w:ascii="SimSun" w:hAnsi="SimSun" w:eastAsia="宋体"/>
                <w:b w:val="0"/>
                <w:sz w:val="19"/>
              </w:rPr>
              <w:t>后续可基于比赛 Word 模板调整页眉、页脚、字体、摘要和正文格式。</w:t>
            </w:r>
          </w:p>
        </w:tc>
      </w:tr>
    </w:tbl>
    <w:p/>
    <w:sectPr w:rsidR="00FC693F" w:rsidRPr="0006063C" w:rsidSect="00034616">
      <w:pgSz w:w="12240" w:h="15840"/>
      <w:pgMar w:top="130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宋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宋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324" w:lineRule="auto"/>
    </w:pPr>
    <w:rPr>
      <w:rFonts w:ascii="SimSun" w:hAnsi="SimSu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