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0D00DC5B"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soaFeeType</w:t>
            </w:r>
            <w:proofErr w:type="spellEnd"/>
            <w:r w:rsidRPr="00610696">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1A240B36"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hasMER}The</w:t>
      </w:r>
      <w:proofErr w:type="gramEnd"/>
      <w:r w:rsidRPr="007140A5">
        <w:rPr>
          <w:rFonts w:eastAsia="Calibri" w:cs="Arial"/>
          <w:kern w:val="0"/>
          <w:sz w:val="16"/>
          <w:szCs w:val="16"/>
          <w:lang w:eastAsia="zh-CN"/>
          <w14:ligatures w14:val="none"/>
        </w:rPr>
        <w:t xml:space="preserve"> investment management fee is indirect and charged by the investment managers on the funds under management. It is typically deducted from the assets of the fund, reducing distributions or performance returns, and is not directly paid by </w:t>
      </w:r>
      <w:proofErr w:type="gramStart"/>
      <w:r w:rsidRPr="007140A5">
        <w:rPr>
          <w:rFonts w:eastAsia="Calibri" w:cs="Arial"/>
          <w:kern w:val="0"/>
          <w:sz w:val="16"/>
          <w:szCs w:val="16"/>
          <w:lang w:eastAsia="zh-CN"/>
          <w14:ligatures w14:val="none"/>
        </w:rPr>
        <w:t>you.{</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hasMER</w:t>
      </w:r>
      <w:proofErr w:type="spellEnd"/>
      <w:r w:rsidRPr="007140A5">
        <w:rPr>
          <w:rFonts w:eastAsia="Calibri" w:cs="Arial"/>
          <w:kern w:val="0"/>
          <w:sz w:val="16"/>
          <w:szCs w:val="16"/>
          <w:lang w:eastAsia="zh-CN"/>
          <w14:ligatures w14:val="none"/>
        </w:rPr>
        <w:t>}</w:t>
      </w:r>
    </w:p>
    <w:p w14:paraId="73CECF1C"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isEstimateSMSFAdmin}We</w:t>
      </w:r>
      <w:proofErr w:type="gramEnd"/>
      <w:r w:rsidRPr="007140A5">
        <w:rPr>
          <w:rFonts w:eastAsia="Calibri" w:cs="Arial"/>
          <w:kern w:val="0"/>
          <w:sz w:val="16"/>
          <w:szCs w:val="16"/>
          <w:lang w:eastAsia="zh-CN"/>
          <w14:ligatures w14:val="none"/>
        </w:rPr>
        <w:t xml:space="preserv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p>
    <w:p w14:paraId="5F3427C3" w14:textId="77777777" w:rsidR="00610696" w:rsidRDefault="00610696" w:rsidP="00610696">
      <w:pPr>
        <w:rPr>
          <w:rFonts w:cs="Arial"/>
          <w:color w:val="E84810"/>
          <w:kern w:val="0"/>
          <w:sz w:val="32"/>
          <w:szCs w:val="44"/>
          <w:lang w:eastAsia="zh-CN"/>
          <w14:ligatures w14:val="none"/>
        </w:rPr>
      </w:pPr>
      <w:bookmarkStart w:id="5" w:name="_Toc175217871"/>
      <w:bookmarkStart w:id="6" w:name="_Toc187318276"/>
      <w:r>
        <w:br w:type="page"/>
      </w:r>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lastRenderedPageBreak/>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672C1178" w:rsidR="007140A5" w:rsidRPr="007140A5" w:rsidRDefault="0008522C" w:rsidP="007140A5">
            <w:pPr>
              <w:spacing w:before="60" w:after="60" w:line="240" w:lineRule="auto"/>
              <w:jc w:val="center"/>
              <w:rPr>
                <w:rFonts w:eastAsia="Calibri" w:cs="Arial"/>
                <w:sz w:val="18"/>
                <w:szCs w:val="18"/>
              </w:rPr>
            </w:pPr>
            <w:r w:rsidRPr="0008522C">
              <w:rPr>
                <w:highlight w:val="yellow"/>
              </w:rPr>
              <w:t xml:space="preserve">CALC </w:t>
            </w:r>
            <w:proofErr w:type="spellStart"/>
            <w:r w:rsidRPr="0008522C">
              <w:rPr>
                <w:highlight w:val="yellow"/>
              </w:rPr>
              <w:t>Deductibilty</w:t>
            </w:r>
            <w:proofErr w:type="spellEnd"/>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t xml:space="preserve">Your eligibility to claim a deduction will depend on your individual circumstances. We recommend consulting with a registered tax agent to confirm deductibility and ensure compliance with ATO </w:t>
      </w:r>
      <w:r w:rsidRPr="007140A5">
        <w:lastRenderedPageBreak/>
        <w:t>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147B44">
        <w:trPr>
          <w:trHeight w:val="340"/>
        </w:trPr>
        <w:tc>
          <w:tcPr>
            <w:tcW w:w="1021" w:type="pct"/>
            <w:vAlign w:val="center"/>
          </w:tcPr>
          <w:p w14:paraId="14027172" w14:textId="017674D0" w:rsidR="007140A5" w:rsidRPr="00966083" w:rsidRDefault="002B197D" w:rsidP="007140A5">
            <w:pPr>
              <w:spacing w:before="60" w:after="60"/>
              <w:rPr>
                <w:rFonts w:cs="Arial"/>
                <w:b/>
                <w:bCs/>
                <w:sz w:val="18"/>
                <w:szCs w:val="18"/>
              </w:rPr>
            </w:pPr>
            <w:r w:rsidRPr="002B197D">
              <w:rPr>
                <w:b/>
                <w:bCs/>
                <w:sz w:val="18"/>
                <w:szCs w:val="18"/>
                <w:highlight w:val="yellow"/>
              </w:rPr>
              <w:t>ADD IN PORTFOLIO NAMES</w:t>
            </w:r>
          </w:p>
        </w:tc>
        <w:tc>
          <w:tcPr>
            <w:tcW w:w="691" w:type="pct"/>
            <w:vAlign w:val="center"/>
          </w:tcPr>
          <w:p w14:paraId="3CC6E7E0" w14:textId="49BF1D1F" w:rsidR="007140A5" w:rsidRPr="00966083" w:rsidRDefault="00966083" w:rsidP="007140A5">
            <w:pPr>
              <w:spacing w:before="60" w:after="60"/>
              <w:jc w:val="center"/>
              <w:rPr>
                <w:rFonts w:cs="Arial"/>
                <w:b/>
                <w:bCs/>
                <w:color w:val="000000"/>
                <w:sz w:val="18"/>
                <w:szCs w:val="18"/>
              </w:rPr>
            </w:pPr>
            <w:r>
              <w:rPr>
                <w:rFonts w:cs="Arial"/>
                <w:b/>
                <w:bCs/>
                <w:color w:val="000000"/>
                <w:sz w:val="18"/>
                <w:szCs w:val="18"/>
              </w:rPr>
              <w:t>{Tier1Balance}</w:t>
            </w:r>
          </w:p>
        </w:tc>
        <w:tc>
          <w:tcPr>
            <w:tcW w:w="548" w:type="pct"/>
            <w:vAlign w:val="center"/>
          </w:tcPr>
          <w:p w14:paraId="35BA3E76" w14:textId="43CD06E7"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Percent}</w:t>
            </w:r>
          </w:p>
        </w:tc>
        <w:tc>
          <w:tcPr>
            <w:tcW w:w="567" w:type="pct"/>
            <w:vAlign w:val="center"/>
          </w:tcPr>
          <w:p w14:paraId="44FB16A6" w14:textId="2B8EA130"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Fee}</w:t>
            </w:r>
          </w:p>
        </w:tc>
        <w:tc>
          <w:tcPr>
            <w:tcW w:w="528" w:type="pct"/>
            <w:vAlign w:val="center"/>
          </w:tcPr>
          <w:p w14:paraId="6FA0B9B7" w14:textId="162724F5" w:rsidR="007140A5" w:rsidRPr="00966083" w:rsidRDefault="007140A5" w:rsidP="007140A5">
            <w:pPr>
              <w:spacing w:before="60" w:after="60"/>
              <w:jc w:val="center"/>
              <w:rPr>
                <w:rFonts w:cs="Arial"/>
                <w:b/>
                <w:bCs/>
                <w:color w:val="000000"/>
                <w:sz w:val="18"/>
                <w:szCs w:val="18"/>
              </w:rPr>
            </w:pPr>
            <w:r w:rsidRPr="00966083">
              <w:rPr>
                <w:b/>
                <w:bCs/>
                <w:sz w:val="18"/>
                <w:szCs w:val="18"/>
              </w:rPr>
              <w:t>40%</w:t>
            </w:r>
          </w:p>
        </w:tc>
        <w:tc>
          <w:tcPr>
            <w:tcW w:w="548" w:type="pct"/>
            <w:vAlign w:val="center"/>
          </w:tcPr>
          <w:p w14:paraId="04019267" w14:textId="19CA7D0A"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ShawFee}</w:t>
            </w:r>
          </w:p>
        </w:tc>
        <w:tc>
          <w:tcPr>
            <w:tcW w:w="548" w:type="pct"/>
            <w:vAlign w:val="center"/>
          </w:tcPr>
          <w:p w14:paraId="4B5A22B4" w14:textId="57663BE4" w:rsidR="007140A5" w:rsidRPr="00966083" w:rsidRDefault="007140A5" w:rsidP="007140A5">
            <w:pPr>
              <w:spacing w:before="60" w:after="60"/>
              <w:jc w:val="center"/>
              <w:rPr>
                <w:rFonts w:cs="Arial"/>
                <w:b/>
                <w:bCs/>
                <w:color w:val="000000"/>
                <w:sz w:val="18"/>
                <w:szCs w:val="18"/>
              </w:rPr>
            </w:pPr>
            <w:r w:rsidRPr="00966083">
              <w:rPr>
                <w:b/>
                <w:bCs/>
                <w:sz w:val="18"/>
                <w:szCs w:val="18"/>
              </w:rPr>
              <w:t>60%</w:t>
            </w:r>
          </w:p>
        </w:tc>
        <w:tc>
          <w:tcPr>
            <w:tcW w:w="549" w:type="pct"/>
            <w:vAlign w:val="center"/>
          </w:tcPr>
          <w:p w14:paraId="5BF23073" w14:textId="082BB0DE"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60F8EE9D"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5E51D891"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lastRenderedPageBreak/>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075EF6"/>
    <w:rsid w:val="0008522C"/>
    <w:rsid w:val="00147B44"/>
    <w:rsid w:val="00280E98"/>
    <w:rsid w:val="002943A6"/>
    <w:rsid w:val="002B197D"/>
    <w:rsid w:val="002C6F05"/>
    <w:rsid w:val="00327A54"/>
    <w:rsid w:val="00510601"/>
    <w:rsid w:val="005F1E30"/>
    <w:rsid w:val="00610696"/>
    <w:rsid w:val="007140A5"/>
    <w:rsid w:val="00750EC8"/>
    <w:rsid w:val="00813785"/>
    <w:rsid w:val="008258C4"/>
    <w:rsid w:val="00966083"/>
    <w:rsid w:val="00981AB6"/>
    <w:rsid w:val="00A43786"/>
    <w:rsid w:val="00EC536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3029</Words>
  <Characters>15724</Characters>
  <Application>Microsoft Office Word</Application>
  <DocSecurity>0</DocSecurity>
  <Lines>561</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3</cp:revision>
  <dcterms:created xsi:type="dcterms:W3CDTF">2026-02-07T05:38:00Z</dcterms:created>
  <dcterms:modified xsi:type="dcterms:W3CDTF">2026-02-07T06:00:00Z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