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Disclosure and Disclaimers</w:t>
      </w:r>
    </w:p>
    <w:p>
      <w:pPr>
        <w:pStyle w:val="Heading2"/>
      </w:pPr>
      <w:r>
        <w:t xml:space="preserve">Remuneration, Commission and Fees</w:t>
      </w:r>
    </w:p>
    <w:p>
      <w:pPr>
        <w:spacing w:after="120"/>
      </w:pPr>
      <w:r>
        <w:t xml:space="preserve">We are required to disclose information about any remuneration (including commissions) or other benefits that might reasonably be expected to have been capable of influencing our advice.</w:t>
      </w:r>
    </w:p>
    <w:p>
      <w:pPr>
        <w:spacing w:after="120"/>
      </w:pPr>
      <w:r>
        <w:t xml:space="preserve">Should you decide to implement our advice, we have provided below details of any remuneration and administration costs that may be applicable to you. The summary of fees noted below is explained in detail within the following sections.</w:t>
      </w:r>
    </w:p>
    <w:p>
      <w:pPr>
        <w:pStyle w:val="Heading2"/>
      </w:pPr>
      <w:r>
        <w:t xml:space="preserve">Summary of Total Estimated Initial and Ongoing Fees</w:t>
      </w:r>
    </w:p>
    <w:p>
      <w:pPr>
        <w:spacing w:after="120"/>
      </w:pPr>
      <w:r>
        <w:t xml:space="preserve">We have summarised below the initial and ongoing annual fees payable based on the total assets under management of </w:t>
      </w:r>
      <w:r>
        <w:rPr>
          <w:b/>
          <w:bCs/>
        </w:rPr>
        <w:t xml:space="preserve">{totalBalance}</w:t>
      </w:r>
      <w:r>
        <w:t xml:space="preserve"> should you implement our advice. All fees shown are inclusive of Goods and Services Tax (GST)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1200"/>
        <w:gridCol w:w="1060"/>
      </w:tblGrid>
      <w:tr>
        <w:tc>
          <w:tcPr>
            <w:tcW w:type="dxa" w:w="3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FEES SUMMARY</w:t>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w:t>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w:t>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w:t>
            </w:r>
          </w:p>
        </w:tc>
        <w:tc>
          <w:tcPr>
            <w:tcW w:type="dxa" w:w="226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PAID TO</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INITIAL</w:t>
            </w:r>
          </w:p>
        </w:tc>
        <w:tc>
          <w:tcPr>
            <w:tcW w:type="dxa" w:w="3600"/>
            <w:gridSpan w:val="3"/>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YEAR 1</w:t>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Statement of Advice 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{soaFeeType}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{soaFeeAmount}</w:t>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{soaFeePaidTo}</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Implementation 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Nil</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w:t>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{#documentServices}{serviceName}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{serviceFee}</w:t>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{servicePaidTo}{/documentServices}</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 INITIAL FEES</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Fixed</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{totalInitialFees}</w:t>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ONGOING ADVICE AND PRODUCT FEES (P.A.)</w:t>
            </w:r>
          </w:p>
        </w:tc>
        <w:tc>
          <w:tcPr>
            <w:tcW w:type="dxa" w:w="3600"/>
            <w:gridSpan w:val="3"/>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YEAR 1 &amp; ONWARDS</w:t>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Ongoing Advice Fee (p.a.)</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{ongoingAdviceFeePercent}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{ongoingAdviceFee}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Shaw</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{#hasPortfolioService}{portfolioServiceName}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{portfolioServiceFee}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Shaw{/hasPortfolioService}</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{#hasSMA}Ongoing Administration (p.a.) - SMA</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{smaFeeType}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{smaFee}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Praemium{/hasSMA}</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Brokerage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Nil</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 ONGOING FEES (P.A.)</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{totalOngoingPercent}</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{totalOngoingFees}</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OTHER FEES</w:t>
            </w:r>
          </w:p>
        </w:tc>
        <w:tc>
          <w:tcPr>
            <w:tcW w:type="dxa" w:w="3600"/>
            <w:gridSpan w:val="3"/>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YEAR 1 &amp; ONWARDS</w:t>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{#hasMER}Investment Management Costs</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{merPercent}</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{merFee}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Fund Managers{/hasMER}</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{#hasOngoingSMSFAdmin}Ongoing SMSF Administration (p.a.)</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{smsfAdminFee}</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{smsfAdministrator}{/hasOngoingSMSFAdmin}</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{#isSMSF}SMSF supervisory levy</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$259</w:t>
            </w:r>
          </w:p>
        </w:tc>
        <w:tc>
          <w:tcPr>
            <w:tcW w:type="dxa" w:w="12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ATO{/isSMSF}</w:t>
            </w:r>
          </w:p>
        </w:tc>
      </w:tr>
      <w:tr>
        <w:tc>
          <w:tcPr>
            <w:tcW w:type="dxa" w:w="3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 OTHER FEES (P.A.)</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{totalOtherPercent}</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{totalOtherFees}</w:t>
            </w:r>
          </w:p>
        </w:tc>
        <w:tc>
          <w:tcPr>
            <w:tcW w:type="dxa" w:w="12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2260"/>
            <w:gridSpan w:val="2"/>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w:t>
            </w:r>
          </w:p>
        </w:tc>
      </w:tr>
    </w:tbl>
    <w:p>
      <w:pPr>
        <w:spacing w:before="200"/>
      </w:pPr>
    </w:p>
    <w:p>
      <w:r>
        <w:rPr>
          <w:b/>
          <w:bCs/>
        </w:rPr>
        <w:t xml:space="preserve">Notes:</w:t>
      </w:r>
    </w:p>
    <w:p>
      <w:pPr>
        <w:pStyle w:val="ListParagraph"/>
        <w:numPr>
          <w:ilvl w:val="0"/>
          <w:numId w:val="2"/>
        </w:numPr>
      </w:pPr>
      <w:r>
        <w:t xml:space="preserve">{#hasMER}The investment management fee is indirect and charged by the investment managers on the funds under management. It is typically deducted from the assets of the fund, reducing distributions or performance returns, and is not directly paid by you.{/hasMER}</w:t>
      </w:r>
    </w:p>
    <w:p>
      <w:pPr>
        <w:pStyle w:val="ListParagraph"/>
        <w:numPr>
          <w:ilvl w:val="0"/>
          <w:numId w:val="2"/>
        </w:numPr>
      </w:pPr>
      <w:r>
        <w:t xml:space="preserve">{#isEstimateSMSFAdmin}We are not aware of your current SMSF administrator's fee, so we have included an estimate. Your actual fee may be higher or lower depending on your agreement with them.{/isEstimateSMSFAdmin}</w:t>
      </w:r>
    </w:p>
    <w:p>
      <w:r>
        <w:br w:type="page"/>
      </w:r>
    </w:p>
    <w:p>
      <w:pPr>
        <w:pStyle w:val="Heading2"/>
      </w:pPr>
      <w:r>
        <w:t xml:space="preserve">Detailed Description of Initial and Ongoing Fees</w:t>
      </w:r>
    </w:p>
    <w:p>
      <w:r>
        <w:rPr>
          <w:b/>
          <w:bCs/>
        </w:rPr>
        <w:t xml:space="preserve">Financial Planning Advice Fees</w:t>
      </w:r>
    </w:p>
    <w:p>
      <w:pPr>
        <w:spacing w:after="80"/>
      </w:pPr>
      <w:r>
        <w:t xml:space="preserve">The fees below have already been included within the </w:t>
      </w:r>
      <w:r>
        <w:rPr>
          <w:u w:val="single"/>
        </w:rPr>
        <w:t xml:space="preserve">Fees Summary</w:t>
      </w:r>
      <w:r>
        <w:t xml:space="preserve"> table above; they are </w:t>
      </w:r>
      <w:r>
        <w:rPr>
          <w:i/>
          <w:iCs/>
          <w:u w:val="single"/>
        </w:rPr>
        <w:t xml:space="preserve">not</w:t>
      </w:r>
      <w:r>
        <w:t xml:space="preserve"> an additional fee.</w:t>
      </w:r>
    </w:p>
    <w:p>
      <w:r>
        <w:rPr>
          <w:i/>
          <w:iCs/>
        </w:rPr>
        <w:t xml:space="preserve">Statement of Advice and Implementation Fee</w:t>
      </w:r>
    </w:p>
    <w:p>
      <w:pPr>
        <w:spacing w:after="120"/>
      </w:pPr>
      <w:r>
        <w:t xml:space="preserve">{^hasSOAFee}As you are paying an ongoing advice fee, there is no additional cost for the preparation of this strategic advice or the implementation of our strategic recommendations.{/hasSOAFee}</w:t>
      </w:r>
    </w:p>
    <w:p>
      <w:pPr>
        <w:spacing w:after="120"/>
      </w:pPr>
      <w:r>
        <w:t xml:space="preserve">{#hasSOAFee}The fee for preparing this Statement of Advice is {soaFeeFullAmount}. We will apply a 50% discount to this fee if you choose to proceed with our ongoing service arrangement. There is no additional implementation fee payable for the recommended strategies.{/hasSOAFee}</w:t>
      </w:r>
    </w:p>
    <w:p>
      <w:r>
        <w:t xml:space="preserve">{#hasSOAFee}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200"/>
        <w:gridCol w:w="1200"/>
        <w:gridCol w:w="1200"/>
      </w:tblGrid>
      <w:tr>
        <w:tc>
          <w:tcPr>
            <w:tcW w:type="dxa" w:w="2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TOTAL (INCLUDING GST)</w:t>
            </w:r>
          </w:p>
        </w:tc>
        <w:tc>
          <w:tcPr>
            <w:tcW w:type="dxa" w:w="3600"/>
            <w:gridSpan w:val="4"/>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MAXIMUM AMOUNT OF THE ONGOING ADVICE FEE THAT IS PAID (INCLUDING GST) TO</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SHAW AND PARTNERS</w:t>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BPF WEALTH GROUP</w:t>
            </w:r>
          </w:p>
        </w:tc>
        <w:tc>
          <w:tcPr>
            <w:tcW w:type="dxa" w:w="12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rPr>
              <w:t xml:space="preserve">$</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rPr>
              <w:t xml:space="preserve">%</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rPr>
              <w:t xml:space="preserve">$</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rPr>
              <w:t xml:space="preserve">%</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rPr>
                <w:b/>
                <w:bCs/>
              </w:rPr>
              <w:t xml:space="preserve">$</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Statement of Advice Fee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{soaFeeDiscounted}</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40%</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{soaFeeShaw}</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60%</w:t>
            </w:r>
          </w:p>
        </w:tc>
        <w:tc>
          <w:tcPr>
            <w:tcW w:type="dxa" w:w="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{soaFeeBPF}</w:t>
            </w:r>
          </w:p>
        </w:tc>
      </w:tr>
    </w:tbl>
    <w:p>
      <w:r>
        <w:t xml:space="preserve">{/hasSOAFee}</w:t>
      </w:r>
    </w:p>
    <w:p>
      <w:r>
        <w:t xml:space="preserve">{#hasSOAFee}</w:t>
      </w:r>
    </w:p>
    <w:p>
      <w:pPr>
        <w:spacing w:before="200"/>
      </w:pPr>
      <w:r>
        <w:rPr>
          <w:b/>
          <w:bCs/>
        </w:rPr>
        <w:t xml:space="preserve">Tax deductibility of advice fees</w:t>
      </w:r>
    </w:p>
    <w:p>
      <w:pPr>
        <w:spacing w:after="120"/>
      </w:pPr>
      <w:r>
        <w:t xml:space="preserve">A portion of the fees you personally pay for financial advice may be tax-deductible, depending on the nature of the advice provided. Under s 25-5 of the Income Tax Assessment Act 1997 (ITAA 1997), fees related to managing your tax affairs, such as considering the tax implications of investment structuring, capital gains tax (CGT) planning, and deductible debt strategies, may be deductible. Additionally, under s 8-1 of ITAA 1997, ongoing fees incurred in producing assessable income may also be deductible.</w:t>
      </w:r>
    </w:p>
    <w:p>
      <w:pPr>
        <w:spacing w:after="120"/>
      </w:pPr>
      <w:r>
        <w:t xml:space="preserve">Please note that any advice fees paid via superannuation or pension products will not be eligible for a tax deduction.</w:t>
      </w:r>
    </w:p>
    <w:p>
      <w:pPr>
        <w:spacing w:after="120"/>
      </w:pPr>
      <w:r>
        <w:t xml:space="preserve">Based on our assessment of the advice we have provided, we have calculated the portion of the advice fees that may be classified as a deductible expense:</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2500"/>
      </w:tblGrid>
      <w:tr>
        <w:tc>
          <w:tcPr>
            <w:tcW w:type="dxa" w:w="3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ELIGIBLE ADVICE FEE</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DEDUCTIBLE PORTION</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Statement of Advice Fee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{soaFeeDiscounted}</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{soaFeeDeductible}</w:t>
            </w:r>
          </w:p>
        </w:tc>
      </w:tr>
    </w:tbl>
    <w:p>
      <w:pPr>
        <w:spacing w:before="120" w:after="120"/>
      </w:pPr>
      <w:r>
        <w:t xml:space="preserve">The attached invoice provides a detailed breakdown of the apportionment and the basis for this calculation. We have also provided a letter that you can provide to your accountant to assist with your tax lodgement that details our basis for the calculations above.</w:t>
      </w:r>
    </w:p>
    <w:p>
      <w:pPr>
        <w:spacing w:after="120"/>
      </w:pPr>
      <w:r>
        <w:t xml:space="preserve">This guidance is based on our understanding of current tax laws and Australian Taxation Office (ATO) guidance.</w:t>
      </w:r>
    </w:p>
    <w:p>
      <w:pPr>
        <w:spacing w:after="120"/>
      </w:pPr>
      <w:r>
        <w:t xml:space="preserve">Your eligibility to claim a deduction will depend on your individual circumstances. We recommend consulting with a registered tax agent to confirm deductibility and ensure compliance with ATO requirements. The ATO may request evidence to support any claim made, so we recommend retaining this document, along with the attached invoice, for your records.</w:t>
      </w:r>
    </w:p>
    <w:p>
      <w:r>
        <w:t xml:space="preserve">{/hasSOAFee}</w:t>
      </w:r>
    </w:p>
    <w:p>
      <w:pPr>
        <w:spacing w:before="200"/>
      </w:pPr>
      <w:r>
        <w:rPr>
          <w:b/>
          <w:bCs/>
        </w:rPr>
        <w:t xml:space="preserve">Ongoing Advice Fee</w:t>
      </w:r>
    </w:p>
    <w:p>
      <w:pPr>
        <w:spacing w:after="120"/>
      </w:pPr>
      <w:r>
        <w:t xml:space="preserve">The table below refers to the ongoing advice fee you will pay and how Shaw is remunerated for providing professional financial advice.</w:t>
      </w:r>
    </w:p>
    <w:p>
      <w:r>
        <w:rPr>
          <w:b/>
          <w:bCs/>
        </w:rPr>
        <w:t xml:space="preserve">TABLE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1100"/>
        <w:gridCol w:w="900"/>
        <w:gridCol w:w="1100"/>
        <w:gridCol w:w="900"/>
        <w:gridCol w:w="1100"/>
      </w:tblGrid>
      <w:tr>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ENTITY</w:t>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AMOUNT INVESTED</w:t>
            </w:r>
          </w:p>
        </w:tc>
        <w:tc>
          <w:tcPr>
            <w:tcW w:type="dxa" w:w="20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ONGOING FEE</w:t>
            </w:r>
          </w:p>
        </w:tc>
        <w:tc>
          <w:tcPr>
            <w:tcW w:type="dxa" w:w="4100"/>
            <w:gridSpan w:val="4"/>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MAXIMUM AMOUNT OF THE ONGOING ADVICE FEE THAT IS PAID TO</w:t>
            </w:r>
          </w:p>
        </w:tc>
      </w:tr>
      <w:tr>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1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20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SHAW AND PARTNERS</w:t>
            </w:r>
          </w:p>
        </w:tc>
        <w:tc>
          <w:tcPr>
            <w:tcW w:type="dxa" w:w="20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BPF WEALTH GROUP</w:t>
            </w:r>
          </w:p>
        </w:tc>
      </w:tr>
      <w:tr>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6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11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11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11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r>
      <w:tr>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{#feeTiers}{entityName}</w:t>
            </w:r>
          </w:p>
        </w:tc>
        <w:tc>
          <w:tcPr>
            <w:tcW w:type="dxa" w:w="16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{tierBalance}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{tierPercent}</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{tierFee}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40%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{tierShawFee}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60%</w:t>
            </w:r>
          </w:p>
        </w:tc>
        <w:tc>
          <w:tcPr>
            <w:tcW w:type="dxa" w:w="11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{tierBPFFee}{/feeTiers}</w:t>
            </w:r>
          </w:p>
        </w:tc>
      </w:tr>
      <w:tr>
        <w:tc>
          <w:tcPr>
            <w:tcW w:type="dxa" w:w="1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16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{totalFeeableBalance}</w:t>
            </w:r>
          </w:p>
        </w:tc>
        <w:tc>
          <w:tcPr>
            <w:tcW w:type="dxa" w:w="9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11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{ongoingAdviceFee}</w:t>
            </w:r>
          </w:p>
        </w:tc>
        <w:tc>
          <w:tcPr>
            <w:tcW w:type="dxa" w:w="9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11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{totalShawFee}</w:t>
            </w:r>
          </w:p>
        </w:tc>
        <w:tc>
          <w:tcPr>
            <w:tcW w:type="dxa" w:w="9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11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{totalBPFFee}</w:t>
            </w:r>
          </w:p>
        </w:tc>
      </w:tr>
    </w:tbl>
    <w:p>
      <w:pPr>
        <w:spacing w:before="120"/>
      </w:pPr>
      <w:r>
        <w:rPr>
          <w:b/>
          <w:bCs/>
        </w:rPr>
        <w:t xml:space="preserve">Notes:</w:t>
      </w:r>
    </w:p>
    <w:p>
      <w:pPr>
        <w:pStyle w:val="ListParagraph"/>
        <w:numPr>
          <w:ilvl w:val="0"/>
          <w:numId w:val="2"/>
        </w:numPr>
      </w:pPr>
      <w:r>
        <w:t xml:space="preserve">Fees are expressed inclusive of Goods and Services Tax (GST) paid to the Government.</w:t>
      </w:r>
    </w:p>
    <w:p>
      <w:pPr>
        <w:pStyle w:val="ListParagraph"/>
        <w:numPr>
          <w:ilvl w:val="0"/>
          <w:numId w:val="2"/>
        </w:numPr>
      </w:pPr>
      <w:r>
        <w:t xml:space="preserve">The ongoing advice fee is based on a tiered scale of {feeScaleDescription}. Please refer to Table 1A.</w:t>
      </w:r>
    </w:p>
    <w:p>
      <w:pPr>
        <w:pStyle w:val="ListParagraph"/>
        <w:numPr>
          <w:ilvl w:val="0"/>
          <w:numId w:val="2"/>
        </w:numPr>
      </w:pPr>
      <w:r>
        <w:t xml:space="preserve">{balanceCalculationNote}</w:t>
      </w:r>
    </w:p>
    <w:p>
      <w:pPr>
        <w:spacing w:before="120" w:after="120"/>
      </w:pPr>
      <w:r>
        <w:rPr>
          <w:b/>
          <w:bCs/>
        </w:rPr>
        <w:t xml:space="preserve">Ongoing Advice Fees</w:t>
      </w:r>
      <w:r>
        <w:t xml:space="preserve"> – These fees are charged monthly in arrears and calculated based on the daily averages of assets</w:t>
      </w:r>
      <w:r>
        <w:t xml:space="preserve">{#excludeAccelerator}, excluding cash in your Accelerator account,{/excludeAccelerator}</w:t>
      </w:r>
      <w:r>
        <w:t xml:space="preserve"> of your household. Note that a household comprises all Shaw-managed accounts of your spouse, dependents, and entities that you and your dependents control.</w:t>
      </w:r>
    </w:p>
    <w:p>
      <w:pPr>
        <w:spacing w:after="120"/>
      </w:pPr>
      <w:r>
        <w:t xml:space="preserve">The ongoing fees are based on the average daily value of eligible assets, as per the fee schedule below.</w:t>
      </w:r>
    </w:p>
    <w:p>
      <w:r>
        <w:rPr>
          <w:b/>
          <w:bCs/>
        </w:rPr>
        <w:t xml:space="preserve">TABLE 1A</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tblGrid>
      <w:tr>
        <w:tc>
          <w:tcPr>
            <w:tcW w:type="dxa" w:w="3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ONGOING ADVICE FEE % P.A. (INCLUDING GST)</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{#feeRateTiers}{tierRange}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{tierRate}{/feeRateTiers}</w:t>
            </w:r>
          </w:p>
        </w:tc>
      </w:tr>
    </w:tbl>
    <w:p>
      <w:r>
        <w:br w:type="page"/>
      </w:r>
    </w:p>
    <w:p>
      <w:pPr>
        <w:spacing w:before="200"/>
      </w:pPr>
      <w:r>
        <w:rPr>
          <w:b/>
          <w:bCs/>
        </w:rPr>
        <w:t xml:space="preserve">Administration Fees</w:t>
      </w:r>
    </w:p>
    <w:p>
      <w:r>
        <w:t xml:space="preserve">{#isHeffron}</w:t>
      </w:r>
    </w:p>
    <w:p>
      <w:r>
        <w:rPr>
          <w:i/>
          <w:iCs/>
        </w:rPr>
        <w:t xml:space="preserve">SMSF Administration (Heffron)</w:t>
      </w:r>
    </w:p>
    <w:p>
      <w:pPr>
        <w:spacing w:after="120"/>
      </w:pPr>
      <w:r>
        <w:t xml:space="preserve">The table below refers to Heffron's fee schedule for their SMSF administration services.</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c>
          <w:tcPr>
            <w:tcW w:type="dxa" w:w="4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FEE (INCLUDING GST)</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ONGOING FEES (P.A.)</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Administration Fee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$2,010</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Audit Fee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$585</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ASIC Agent - Special Purpose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$210</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$2,805</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DOCUMENT SERVICES</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{#heffronDocServices}{docServiceName}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{docServiceFee}{/heffronDocServices}</w:t>
            </w:r>
          </w:p>
        </w:tc>
      </w:tr>
    </w:tbl>
    <w:p>
      <w:pPr>
        <w:spacing w:before="120"/>
      </w:pPr>
      <w:r>
        <w:rPr>
          <w:b/>
          <w:bCs/>
        </w:rPr>
        <w:t xml:space="preserve">Notes:</w:t>
      </w:r>
    </w:p>
    <w:p>
      <w:pPr>
        <w:pStyle w:val="ListParagraph"/>
        <w:numPr>
          <w:ilvl w:val="0"/>
          <w:numId w:val="2"/>
        </w:numPr>
      </w:pPr>
      <w:r>
        <w:t xml:space="preserve">The fee schedule is subject to change. Please refer to Heffron for further details.</w:t>
      </w:r>
    </w:p>
    <w:p>
      <w:pPr>
        <w:pStyle w:val="ListParagraph"/>
        <w:numPr>
          <w:ilvl w:val="0"/>
          <w:numId w:val="2"/>
        </w:numPr>
      </w:pPr>
      <w:r>
        <w:t xml:space="preserve">{#hasPensionEstablishment}Pension Establishment – Heffron prepares all the documentation required to commence an account-based pension or transition to retirement income stream from a self-managed superannuation fund.{/hasPensionEstablishment}</w:t>
      </w:r>
    </w:p>
    <w:p>
      <w:pPr>
        <w:pStyle w:val="ListParagraph"/>
        <w:numPr>
          <w:ilvl w:val="0"/>
          <w:numId w:val="2"/>
        </w:numPr>
      </w:pPr>
      <w:r>
        <w:t xml:space="preserve">{#hasCommutation}Full/Partial Pension Commutation – Heffron's commutation service enables the member to record the commutation of one or more pensions from the fund.{/hasCommutation}</w:t>
      </w:r>
    </w:p>
    <w:p>
      <w:pPr>
        <w:pStyle w:val="ListParagraph"/>
        <w:numPr>
          <w:ilvl w:val="0"/>
          <w:numId w:val="2"/>
        </w:numPr>
      </w:pPr>
      <w:r>
        <w:t xml:space="preserve">{#hasLumpSum}Lump Sum from Accumulation – Heffron prepares the documentation to record a lump sum payment from a members accumulation account within the self-managed superannuation fund.{/hasLumpSum}</w:t>
      </w:r>
    </w:p>
    <w:p>
      <w:pPr>
        <w:pStyle w:val="ListParagraph"/>
        <w:numPr>
          <w:ilvl w:val="0"/>
          <w:numId w:val="2"/>
        </w:numPr>
      </w:pPr>
      <w:r>
        <w:t xml:space="preserve">{#hasContributionSplitting}Contribution Splitting – Heffron prepares all the required documentation to record a contribution split within a self-managed superannuation fund, including relevant letters, minutes, applications and statutory forms.{/hasContributionSplitting}</w:t>
      </w:r>
    </w:p>
    <w:p>
      <w:r>
        <w:t xml:space="preserve">{/isHeffron}</w:t>
      </w:r>
    </w:p>
    <w:p>
      <w:r>
        <w:t xml:space="preserve">{#isRyans}</w:t>
      </w:r>
    </w:p>
    <w:p>
      <w:r>
        <w:rPr>
          <w:i/>
          <w:iCs/>
        </w:rPr>
        <w:t xml:space="preserve">SMSF Administration (Our preferred provider)</w:t>
      </w:r>
    </w:p>
    <w:p>
      <w:pPr>
        <w:spacing w:after="120"/>
      </w:pPr>
      <w:r>
        <w:t xml:space="preserve">The table below refers to our preferred provider's fee schedule for their SMSF administration services.</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tblGrid>
      <w:tr>
        <w:tc>
          <w:tcPr>
            <w:tcW w:type="dxa" w:w="4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FEE (INCLUDING GST)</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ONGOING FEES (P.A.)</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Administration &amp; Audit Fee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$2,500</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ASIC Agent - Special Purpose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$67</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$2,567</w:t>
            </w:r>
          </w:p>
        </w:tc>
      </w:tr>
      <w:tr>
        <w:tc>
          <w:tcPr>
            <w:tcW w:type="dxa" w:w="4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DOCUMENT SERVICES</w:t>
            </w:r>
          </w:p>
        </w:tc>
        <w:tc>
          <w:tcPr>
            <w:tcW w:type="dxa" w:w="2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SMSF establishment service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$800</w:t>
            </w:r>
          </w:p>
        </w:tc>
      </w:tr>
      <w:tr>
        <w:tc>
          <w:tcPr>
            <w:tcW w:type="dxa" w:w="4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SMSF trustee company establishment service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$800</w:t>
            </w:r>
          </w:p>
        </w:tc>
      </w:tr>
    </w:tbl>
    <w:p>
      <w:pPr>
        <w:spacing w:before="120"/>
      </w:pPr>
      <w:r>
        <w:rPr>
          <w:b/>
          <w:bCs/>
        </w:rPr>
        <w:t xml:space="preserve">Notes:</w:t>
      </w:r>
    </w:p>
    <w:p>
      <w:pPr>
        <w:pStyle w:val="ListParagraph"/>
        <w:numPr>
          <w:ilvl w:val="0"/>
          <w:numId w:val="2"/>
        </w:numPr>
      </w:pPr>
      <w:r>
        <w:t xml:space="preserve">The fee schedule is subject to change. Please refer to our preferred provider for further details.</w:t>
      </w:r>
    </w:p>
    <w:p>
      <w:r>
        <w:t xml:space="preserve">{/isRyans}</w:t>
      </w:r>
    </w:p>
    <w:p>
      <w:r>
        <w:t xml:space="preserve">{#isSMSF}</w:t>
      </w:r>
    </w:p>
    <w:p>
      <w:r>
        <w:rPr>
          <w:i/>
          <w:iCs/>
        </w:rPr>
        <w:t xml:space="preserve">SMSF supervisory levy</w:t>
      </w:r>
    </w:p>
    <w:p>
      <w:pPr>
        <w:spacing w:after="120"/>
      </w:pPr>
      <w:r>
        <w:t xml:space="preserve">SMSFs have to pay the SMSF supervisory levy annually to the Australian Taxation Office (ATO). The levy has been $259 since the 2014/15 financial year and remains the same for the current financial year.</w:t>
      </w:r>
    </w:p>
    <w:p>
      <w:r>
        <w:t xml:space="preserve">{/isSMSF}</w:t>
      </w:r>
    </w:p>
    <w:p>
      <w:r>
        <w:br w:type="page"/>
      </w:r>
    </w:p>
    <w:p>
      <w:r>
        <w:t xml:space="preserve">{#hasPortfolioService}</w:t>
      </w:r>
    </w:p>
    <w:p>
      <w:r>
        <w:rPr>
          <w:i/>
          <w:iCs/>
        </w:rPr>
        <w:t xml:space="preserve">{portfolioServiceTitle}</w:t>
      </w:r>
    </w:p>
    <w:p>
      <w:pPr>
        <w:spacing w:after="120"/>
      </w:pPr>
      <w:r>
        <w:t xml:space="preserve">An administration fee is payable for your Portfolio Service and Shaw SMA account which includes the following services:</w:t>
      </w:r>
    </w:p>
    <w:p>
      <w:pPr>
        <w:pStyle w:val="ListParagraph"/>
        <w:numPr>
          <w:ilvl w:val="0"/>
          <w:numId w:val="3"/>
        </w:numPr>
      </w:pPr>
      <w:r>
        <w:rPr>
          <w:b/>
          <w:bCs/>
        </w:rPr>
        <w:t xml:space="preserve">Redirection of mail relating to your investments in your portfolio</w:t>
      </w:r>
      <w:r>
        <w:t xml:space="preserve"> – This mail correspondence will be posted directly to Praemium's mail house. This will therefore minimise the mail that you receive and filter the necessary information that requires your attention. As part of the mail house service, any corporate actions that become available will also be efficiently managed by us, and you will not be required to independently respond to the investment company/managing registry.</w:t>
      </w:r>
    </w:p>
    <w:p>
      <w:pPr>
        <w:pStyle w:val="ListParagraph"/>
        <w:numPr>
          <w:ilvl w:val="0"/>
          <w:numId w:val="3"/>
        </w:numPr>
      </w:pPr>
      <w:r>
        <w:rPr>
          <w:b/>
          <w:bCs/>
        </w:rPr>
        <w:t xml:space="preserve">The provision of online reporting, which includes annual tax reporting and quarterly reporting.</w:t>
      </w:r>
    </w:p>
    <w:p>
      <w:pPr>
        <w:spacing w:before="120" w:after="120"/>
      </w:pPr>
      <w:r>
        <w:t xml:space="preserve">The table below refers to the administration fees payable for the Portfolio Service.</w:t>
      </w:r>
    </w:p>
    <w:p>
      <w:r>
        <w:t xml:space="preserve">{#isExistingPortfolioService}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900"/>
      </w:tblGrid>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w:t>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ONGOING FEE</w:t>
            </w:r>
          </w:p>
        </w:tc>
        <w:tc>
          <w:tcPr>
            <w:tcW w:type="dxa" w:w="3600"/>
            <w:gridSpan w:val="4"/>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MAXIMUM AMOUNT OF THE ONGOING ADVICE FEE THAT IS PAID TO</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r>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SHAW AND PARTNERS</w:t>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BPF WEALTH GROUP</w:t>
            </w:r>
          </w:p>
        </w:tc>
      </w:tr>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Fixed Service Administration Fee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$607</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40%</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$243</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60%</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$364</w:t>
            </w:r>
          </w:p>
        </w:tc>
      </w:tr>
    </w:tbl>
    <w:p>
      <w:pPr>
        <w:spacing w:before="120"/>
      </w:pPr>
      <w:r>
        <w:rPr>
          <w:b/>
          <w:bCs/>
        </w:rPr>
        <w:t xml:space="preserve">Notes:</w:t>
      </w:r>
    </w:p>
    <w:p>
      <w:pPr>
        <w:pStyle w:val="ListParagraph"/>
        <w:numPr>
          <w:ilvl w:val="0"/>
          <w:numId w:val="2"/>
        </w:numPr>
      </w:pPr>
      <w:r>
        <w:t xml:space="preserve">{portfolioServiceAccountNote}</w:t>
      </w:r>
    </w:p>
    <w:p>
      <w:pPr>
        <w:pStyle w:val="ListParagraph"/>
        <w:numPr>
          <w:ilvl w:val="0"/>
          <w:numId w:val="2"/>
        </w:numPr>
      </w:pPr>
      <w:r>
        <w:t xml:space="preserve">Fees expressed are inclusive of Goods and Services Tax (GST).</w:t>
      </w:r>
    </w:p>
    <w:p>
      <w:pPr>
        <w:pStyle w:val="ListParagraph"/>
        <w:numPr>
          <w:ilvl w:val="0"/>
          <w:numId w:val="2"/>
        </w:numPr>
      </w:pPr>
      <w:r>
        <w:t xml:space="preserve">The fixed service administration fee is $50.60 per month ($607.20 per annum).</w:t>
      </w:r>
    </w:p>
    <w:p>
      <w:r>
        <w:t xml:space="preserve">{/isExistingPortfolioService}</w:t>
      </w:r>
    </w:p>
    <w:p>
      <w:r>
        <w:t xml:space="preserve">{#isNewPortfolioService}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900"/>
        <w:gridCol w:w="900"/>
        <w:gridCol w:w="900"/>
        <w:gridCol w:w="900"/>
        <w:gridCol w:w="900"/>
      </w:tblGrid>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w:t>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ONGOING FEE</w:t>
            </w:r>
          </w:p>
        </w:tc>
        <w:tc>
          <w:tcPr>
            <w:tcW w:type="dxa" w:w="3600"/>
            <w:gridSpan w:val="4"/>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r>
              <w:rPr>
                <w:b/>
                <w:bCs/>
              </w:rPr>
              <w:t xml:space="preserve">MAXIMUM AMOUNT OF THE ONGOING ADVICE FEE THAT IS PAID TO</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r>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SHAW AND PARTNERS</w:t>
            </w:r>
          </w:p>
        </w:tc>
        <w:tc>
          <w:tcPr>
            <w:tcW w:type="dxa" w:w="1800"/>
            <w:gridSpan w:val="2"/>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BPF WEALTH GROUP</w:t>
            </w:r>
          </w:p>
        </w:tc>
      </w:tr>
      <w:tr>
        <w:tc>
          <w:tcPr>
            <w:tcW w:type="dxa" w:w="18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t xml:space="preserve"/>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9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r>
      <w:tr>
        <w:tc>
          <w:tcPr>
            <w:tcW w:type="dxa" w:w="18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Fixed Service Administration Fee</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$792</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40%</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$317</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60%</w:t>
            </w:r>
          </w:p>
        </w:tc>
        <w:tc>
          <w:tcPr>
            <w:tcW w:type="dxa" w:w="9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$475</w:t>
            </w:r>
          </w:p>
        </w:tc>
      </w:tr>
    </w:tbl>
    <w:p>
      <w:pPr>
        <w:spacing w:before="120"/>
      </w:pPr>
      <w:r>
        <w:rPr>
          <w:b/>
          <w:bCs/>
        </w:rPr>
        <w:t xml:space="preserve">Notes:</w:t>
      </w:r>
    </w:p>
    <w:p>
      <w:pPr>
        <w:pStyle w:val="ListParagraph"/>
        <w:numPr>
          <w:ilvl w:val="0"/>
          <w:numId w:val="2"/>
        </w:numPr>
      </w:pPr>
      <w:r>
        <w:t xml:space="preserve">{portfolioServiceAccountNote}</w:t>
      </w:r>
    </w:p>
    <w:p>
      <w:pPr>
        <w:pStyle w:val="ListParagraph"/>
        <w:numPr>
          <w:ilvl w:val="0"/>
          <w:numId w:val="2"/>
        </w:numPr>
      </w:pPr>
      <w:r>
        <w:t xml:space="preserve">Fees expressed are inclusive of Goods and Services Tax (GST).</w:t>
      </w:r>
    </w:p>
    <w:p>
      <w:pPr>
        <w:pStyle w:val="ListParagraph"/>
        <w:numPr>
          <w:ilvl w:val="0"/>
          <w:numId w:val="2"/>
        </w:numPr>
      </w:pPr>
      <w:r>
        <w:t xml:space="preserve">The fixed service administration fee is $66 per month ($792 per annum).</w:t>
      </w:r>
    </w:p>
    <w:p>
      <w:r>
        <w:t xml:space="preserve">{/isNewPortfolioService}</w:t>
      </w:r>
    </w:p>
    <w:p>
      <w:r>
        <w:t xml:space="preserve">{/hasPortfolioService}</w:t>
      </w:r>
    </w:p>
    <w:p>
      <w:r>
        <w:t xml:space="preserve">{#hasSMA}</w:t>
      </w:r>
    </w:p>
    <w:p>
      <w:pPr>
        <w:spacing w:before="200"/>
      </w:pPr>
      <w:r>
        <w:rPr>
          <w:i/>
          <w:iCs/>
        </w:rPr>
        <w:t xml:space="preserve">Shaw SMA (managed fund restricted)</w:t>
      </w:r>
    </w:p>
    <w:p>
      <w:pPr>
        <w:spacing w:after="120"/>
      </w:pPr>
      <w:r>
        <w:t xml:space="preserve">The fees applicable for the Shaw SMA account are comprised of the following:</w:t>
      </w:r>
    </w:p>
    <w:p>
      <w:r>
        <w:t xml:space="preserve">{#isExistingSMA}</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tblGrid>
      <w:tr>
        <w:tc>
          <w:tcPr>
            <w:tcW w:type="dxa" w:w="4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FEES</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Managed Fund Custody</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$600</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Account Keeping Fee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$60</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Expense Recovery Fee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up to $150</w:t>
            </w:r>
          </w:p>
        </w:tc>
      </w:tr>
      <w:tr>
        <w:tc>
          <w:tcPr>
            <w:tcW w:type="dxa" w:w="4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t xml:space="preserve"/>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$810</w:t>
            </w:r>
          </w:p>
        </w:tc>
      </w:tr>
    </w:tbl>
    <w:p>
      <w:pPr>
        <w:spacing w:before="120"/>
      </w:pPr>
      <w:r>
        <w:rPr>
          <w:b/>
          <w:bCs/>
        </w:rPr>
        <w:t xml:space="preserve">Notes:</w:t>
      </w:r>
    </w:p>
    <w:p>
      <w:pPr>
        <w:pStyle w:val="ListParagraph"/>
        <w:numPr>
          <w:ilvl w:val="0"/>
          <w:numId w:val="2"/>
        </w:numPr>
      </w:pPr>
      <w:r>
        <w:t xml:space="preserve">{smaAccountNote}</w:t>
      </w:r>
    </w:p>
    <w:p>
      <w:pPr>
        <w:pStyle w:val="ListParagraph"/>
        <w:numPr>
          <w:ilvl w:val="0"/>
          <w:numId w:val="2"/>
        </w:numPr>
      </w:pPr>
      <w:r>
        <w:t xml:space="preserve">All fees are inclusive of Goods and Services Tax (GST).</w:t>
      </w:r>
    </w:p>
    <w:p>
      <w:pPr>
        <w:pStyle w:val="ListParagraph"/>
        <w:numPr>
          <w:ilvl w:val="0"/>
          <w:numId w:val="2"/>
        </w:numPr>
      </w:pPr>
      <w:r>
        <w:t xml:space="preserve">Any managed funds invested within your portfolio are held within the SMA platform to ensure an appropriate custodian is appointed to hold the legal title of the investment. All assets held within the Praemium SMA, including those held in your Account, are held by the appointed custodian. Praemium has appointed HSBC Bank Australia Limited (HSBC) as custodian for all domestic assets within the SMA and J.P. Morgan Chase as custodian for all international asset holdings.</w:t>
      </w:r>
    </w:p>
    <w:p>
      <w:pPr>
        <w:pStyle w:val="ListParagraph"/>
        <w:numPr>
          <w:ilvl w:val="0"/>
          <w:numId w:val="2"/>
        </w:numPr>
      </w:pPr>
      <w:r>
        <w:t xml:space="preserve">The Account Keeping Fee is paid monthly in arrears and deducted directly from your Account. This fee is paid to Praemium.</w:t>
      </w:r>
    </w:p>
    <w:p>
      <w:pPr>
        <w:pStyle w:val="ListParagraph"/>
        <w:numPr>
          <w:ilvl w:val="0"/>
          <w:numId w:val="2"/>
        </w:numPr>
      </w:pPr>
      <w:r>
        <w:t xml:space="preserve">Praemium is entitled to reimbursement of expenses such as audit, legal, tax consulting fees, expenses and liabilities relating to the management and operation of the Scheme. Payable annually from the account.</w:t>
      </w:r>
    </w:p>
    <w:p>
      <w:r>
        <w:t xml:space="preserve">{/isExistingSMA}</w:t>
      </w:r>
    </w:p>
    <w:p>
      <w:r>
        <w:t xml:space="preserve">{#isNewSMA}</w:t>
      </w:r>
    </w:p>
    <w:tbl>
      <w:tblPr>
        <w:tblW w:type="pct" w:w="6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1500"/>
      </w:tblGrid>
      <w:tr>
        <w:tc>
          <w:tcPr>
            <w:tcW w:type="dxa" w:w="4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FEES</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P.A.</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Administration Fee (tiered)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{smaAdminFeePercent}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{smaAdminFee}</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Account Keeping Fee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$60</w:t>
            </w:r>
          </w:p>
        </w:tc>
      </w:tr>
      <w:tr>
        <w:tc>
          <w:tcPr>
            <w:tcW w:type="dxa" w:w="4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Expense Recovery Fee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Fixed</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up to $150</w:t>
            </w:r>
          </w:p>
        </w:tc>
      </w:tr>
      <w:tr>
        <w:tc>
          <w:tcPr>
            <w:tcW w:type="dxa" w:w="4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{smaTotalPercent}</w:t>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{smaTotalFee}</w:t>
            </w:r>
          </w:p>
        </w:tc>
      </w:tr>
    </w:tbl>
    <w:p>
      <w:pPr>
        <w:spacing w:before="120"/>
      </w:pPr>
      <w:r>
        <w:rPr>
          <w:b/>
          <w:bCs/>
        </w:rPr>
        <w:t xml:space="preserve">Notes:</w:t>
      </w:r>
    </w:p>
    <w:p>
      <w:pPr>
        <w:pStyle w:val="ListParagraph"/>
        <w:numPr>
          <w:ilvl w:val="0"/>
          <w:numId w:val="2"/>
        </w:numPr>
      </w:pPr>
      <w:r>
        <w:t xml:space="preserve">The account keeping and expense recovery fees are charged per account, the administration fee is calculated based on the total amount invested.</w:t>
      </w:r>
    </w:p>
    <w:p>
      <w:pPr>
        <w:pStyle w:val="ListParagraph"/>
        <w:numPr>
          <w:ilvl w:val="0"/>
          <w:numId w:val="2"/>
        </w:numPr>
      </w:pPr>
      <w:r>
        <w:t xml:space="preserve">{smaBalanceNote}</w:t>
      </w:r>
    </w:p>
    <w:p>
      <w:pPr>
        <w:pStyle w:val="ListParagraph"/>
        <w:numPr>
          <w:ilvl w:val="0"/>
          <w:numId w:val="2"/>
        </w:numPr>
      </w:pPr>
      <w:r>
        <w:t xml:space="preserve">All fees are inclusive of Goods and Services Tax (GST).</w:t>
      </w:r>
    </w:p>
    <w:p>
      <w:pPr>
        <w:pStyle w:val="ListParagraph"/>
        <w:numPr>
          <w:ilvl w:val="0"/>
          <w:numId w:val="2"/>
        </w:numPr>
      </w:pPr>
      <w:r>
        <w:t xml:space="preserve">Administration fees are charged using the following fee scale:</w:t>
      </w:r>
    </w:p>
    <w:tbl>
      <w:tblPr>
        <w:tblW w:type="pct" w:w="5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tblGrid>
      <w:tr>
        <w:tc>
          <w:tcPr>
            <w:tcW w:type="dxa" w:w="3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Shaw SMA – Administration Fee Tiered</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$0 - $250,000</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0.27%</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$250,001 - $500,000</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0.20%</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$500,001 - $1,000,000</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0.11%</w:t>
            </w:r>
          </w:p>
        </w:tc>
      </w:tr>
      <w:tr>
        <w:tc>
          <w:tcPr>
            <w:tcW w:type="dxa" w:w="3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$1,000,001 and above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0.00%</w:t>
            </w:r>
          </w:p>
        </w:tc>
      </w:tr>
    </w:tbl>
    <w:p>
      <w:pPr>
        <w:spacing w:before="80"/>
      </w:pPr>
      <w:r>
        <w:t xml:space="preserve">Tiered administration fee caps at $1,725 p.a. on balances of $1,000,000+.</w:t>
      </w:r>
    </w:p>
    <w:p>
      <w:pPr>
        <w:pStyle w:val="ListParagraph"/>
        <w:numPr>
          <w:ilvl w:val="0"/>
          <w:numId w:val="2"/>
        </w:numPr>
      </w:pPr>
      <w:r>
        <w:t xml:space="preserve">Any managed funds invested within your SMSF portfolio are held within the SMA platform to ensure an appropriate custodian is appointed to hold the legal title of the investment. All assets held within the Praemium SMA, including those held in your Account, are held by the appointed custodian. Praemium has appointed HSBC Bank Australia Limited (HSBC) as custodian for all domestic assets within the SMA and J.P. Morgan Chase as custodian for all international asset holdings.</w:t>
      </w:r>
    </w:p>
    <w:p>
      <w:pPr>
        <w:pStyle w:val="ListParagraph"/>
        <w:numPr>
          <w:ilvl w:val="0"/>
          <w:numId w:val="2"/>
        </w:numPr>
      </w:pPr>
      <w:r>
        <w:t xml:space="preserve">The Account Keeping Fee is paid monthly in arrears and deducted directly from your Account.</w:t>
      </w:r>
    </w:p>
    <w:p>
      <w:pPr>
        <w:pStyle w:val="ListParagraph"/>
        <w:numPr>
          <w:ilvl w:val="0"/>
          <w:numId w:val="2"/>
        </w:numPr>
      </w:pPr>
      <w:r>
        <w:t xml:space="preserve">Praemium is entitled to reimbursement of expenses such as audit, legal, tax consulting fees, expenses and liabilities relating to the management and operation of the Scheme. Payable annually from the account.</w:t>
      </w:r>
    </w:p>
    <w:p>
      <w:r>
        <w:t xml:space="preserve">{/isNewSMA}</w:t>
      </w:r>
    </w:p>
    <w:p>
      <w:r>
        <w:t xml:space="preserve">{/hasSMA}</w:t>
      </w:r>
    </w:p>
    <w:p>
      <w:r>
        <w:br w:type="page"/>
      </w:r>
    </w:p>
    <w:p>
      <w:r>
        <w:t xml:space="preserve">{#hasMER}</w:t>
      </w:r>
    </w:p>
    <w:p>
      <w:pPr>
        <w:spacing w:before="200"/>
      </w:pPr>
      <w:r>
        <w:rPr>
          <w:b/>
          <w:bCs/>
        </w:rPr>
        <w:t xml:space="preserve">Investment Management Fees and Costs</w:t>
      </w:r>
    </w:p>
    <w:p>
      <w:r>
        <w:rPr>
          <w:i/>
          <w:iCs/>
        </w:rPr>
        <w:t xml:space="preserve">Management Expense Ratio (MER)/Indirect Cost Ratio (ICR)</w:t>
      </w:r>
    </w:p>
    <w:p>
      <w:r>
        <w:t xml:space="preserve">{#isKnownMER}</w:t>
      </w:r>
    </w:p>
    <w:p>
      <w:pPr>
        <w:spacing w:after="120"/>
      </w:pPr>
      <w:r>
        <w:t xml:space="preserve">The table below refers to the investment management fees incorporated in the current ETFs that you have:</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500"/>
      </w:tblGrid>
      <w:tr>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ENTITY</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BALANCE INVESTED</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MER/ICR (%)</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MER/ICR ($)</w:t>
            </w:r>
          </w:p>
        </w:tc>
      </w:tr>
      <w:tr>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{#merEntities}{entityName}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{entityBalance}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{entityMERPercent}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{entityMERFee}{/merEntities}</w:t>
            </w:r>
          </w:p>
        </w:tc>
      </w:tr>
    </w:tbl>
    <w:p>
      <w:pPr>
        <w:spacing w:before="120"/>
      </w:pPr>
      <w:r>
        <w:rPr>
          <w:b/>
          <w:bCs/>
        </w:rPr>
        <w:t xml:space="preserve">Notes:</w:t>
      </w:r>
    </w:p>
    <w:p>
      <w:pPr>
        <w:pStyle w:val="ListParagraph"/>
        <w:numPr>
          <w:ilvl w:val="0"/>
          <w:numId w:val="2"/>
        </w:numPr>
      </w:pPr>
      <w:r>
        <w:t xml:space="preserve">{merCalculationNote}</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1500"/>
      </w:tblGrid>
      <w:tr>
        <w:tc>
          <w:tcPr>
            <w:tcW w:type="dxa" w:w="2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Holding</w:t>
            </w:r>
          </w:p>
        </w:tc>
        <w:tc>
          <w:tcPr>
            <w:tcW w:type="dxa" w:w="20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Market Value</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MER/ICR (%)</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MER/ICR ($)</w:t>
            </w:r>
          </w:p>
        </w:tc>
      </w:tr>
      <w:tr>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{#merHoldings}{holdingName}</w:t>
            </w:r>
          </w:p>
        </w:tc>
        <w:tc>
          <w:tcPr>
            <w:tcW w:type="dxa" w:w="20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{holdingValue}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{holdingMERPercent}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{holdingMERFee}{/merHoldings}</w:t>
            </w:r>
          </w:p>
        </w:tc>
      </w:tr>
      <w:tr>
        <w:tc>
          <w:tcPr>
            <w:tcW w:type="dxa" w:w="2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left"/>
            </w:pPr>
            <w:r>
              <w:rPr>
                <w:b/>
                <w:bCs/>
              </w:rPr>
              <w:t xml:space="preserve">Total</w:t>
            </w:r>
          </w:p>
        </w:tc>
        <w:tc>
          <w:tcPr>
            <w:tcW w:type="dxa" w:w="20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{merTotalValue}</w:t>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center"/>
            </w:pPr>
            <w:r>
              <w:rPr>
                <w:b/>
                <w:bCs/>
              </w:rPr>
              <w:t xml:space="preserve">{merTotalPercent}</w:t>
            </w:r>
          </w:p>
        </w:tc>
        <w:tc>
          <w:tcPr>
            <w:tcW w:type="dxa" w:w="1500"/>
            <w:tcBorders>
              <w:top w:val="single" w:color="999999" w:sz="4"/>
              <w:left w:val="single" w:color="999999" w:sz="4"/>
              <w:bottom w:val="single" w:color="999999" w:sz="4"/>
              <w:right w:val="single" w:color="999999" w:sz="4"/>
            </w:tcBorders>
            <w:shd w:fill="F2F2F2" w:val="clear"/>
            <w:tcMar>
              <w:top w:type="dxa" w:w="60"/>
              <w:left w:type="dxa" w:w="80"/>
              <w:bottom w:type="dxa" w:w="60"/>
              <w:right w:type="dxa" w:w="80"/>
            </w:tcMar>
            <w:vAlign w:val="center"/>
          </w:tcPr>
          <w:p>
            <w:pPr>
              <w:jc w:val="right"/>
            </w:pPr>
            <w:r>
              <w:rPr>
                <w:b/>
                <w:bCs/>
              </w:rPr>
              <w:t xml:space="preserve">{merTotalFee}</w:t>
            </w:r>
          </w:p>
        </w:tc>
      </w:tr>
    </w:tbl>
    <w:p>
      <w:pPr>
        <w:pStyle w:val="ListParagraph"/>
        <w:numPr>
          <w:ilvl w:val="0"/>
          <w:numId w:val="2"/>
        </w:numPr>
      </w:pPr>
      <w:r>
        <w:t xml:space="preserve">Shaw do not receive any part of the product, administration or investment fees as displayed in the above ongoing fund manager fees table.</w:t>
      </w:r>
    </w:p>
    <w:p>
      <w:r>
        <w:t xml:space="preserve">{/isKnownMER}</w:t>
      </w:r>
    </w:p>
    <w:p>
      <w:r>
        <w:t xml:space="preserve">{#isEstimateMER}</w:t>
      </w:r>
    </w:p>
    <w:p>
      <w:pPr>
        <w:spacing w:after="120"/>
      </w:pPr>
      <w:r>
        <w:t xml:space="preserve">The table below refers to the investment management fees estimated for your portfolio:</w:t>
      </w:r>
    </w:p>
    <w:tbl>
      <w:tblPr>
        <w:tblW w:type="pct" w:w="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1500"/>
      </w:tblGrid>
      <w:tr>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left"/>
            </w:pPr>
            <w:r>
              <w:rPr>
                <w:b/>
                <w:bCs/>
              </w:rPr>
              <w:t xml:space="preserve">ENTITY</w:t>
            </w:r>
          </w:p>
        </w:tc>
        <w:tc>
          <w:tcPr>
            <w:tcW w:type="dxa" w:w="2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BALANCE INVESTED</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MER/ICR (%)</w:t>
            </w:r>
          </w:p>
        </w:tc>
        <w:tc>
          <w:tcPr>
            <w:tcW w:type="dxa" w:w="1500"/>
            <w:tcBorders>
              <w:top w:val="single" w:color="999999" w:sz="4"/>
              <w:left w:val="single" w:color="999999" w:sz="4"/>
              <w:bottom w:val="single" w:color="999999" w:sz="4"/>
              <w:right w:val="single" w:color="999999" w:sz="4"/>
            </w:tcBorders>
            <w:shd w:fill="D9D9D9" w:val="clear"/>
            <w:tcMar>
              <w:top w:type="dxa" w:w="60"/>
              <w:left w:type="dxa" w:w="80"/>
              <w:bottom w:type="dxa" w:w="60"/>
              <w:right w:type="dxa" w:w="80"/>
            </w:tcMar>
            <w:vAlign w:val="center"/>
          </w:tcPr>
          <w:p>
            <w:pPr>
              <w:jc w:val="center"/>
            </w:pPr>
            <w:r>
              <w:rPr>
                <w:b/>
                <w:bCs/>
              </w:rPr>
              <w:t xml:space="preserve">ESTIMATED MER/ICR ($)</w:t>
            </w:r>
          </w:p>
        </w:tc>
      </w:tr>
      <w:tr>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left"/>
            </w:pPr>
            <w:r>
              <w:t xml:space="preserve">{merEntityName}</w:t>
            </w:r>
          </w:p>
        </w:tc>
        <w:tc>
          <w:tcPr>
            <w:tcW w:type="dxa" w:w="2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{merEstimatedBalance}</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center"/>
            </w:pPr>
            <w:r>
              <w:t xml:space="preserve">{merEstimatedPercent}</w:t>
            </w:r>
          </w:p>
        </w:tc>
        <w:tc>
          <w:tcPr>
            <w:tcW w:type="dxa" w:w="1500"/>
            <w:tcBorders>
              <w:top w:val="single" w:color="999999" w:sz="4"/>
              <w:left w:val="single" w:color="999999" w:sz="4"/>
              <w:bottom w:val="single" w:color="999999" w:sz="4"/>
              <w:right w:val="single" w:color="999999" w:sz="4"/>
            </w:tcBorders>
            <w:tcMar>
              <w:top w:type="dxa" w:w="60"/>
              <w:left w:type="dxa" w:w="80"/>
              <w:bottom w:type="dxa" w:w="60"/>
              <w:right w:type="dxa" w:w="80"/>
            </w:tcMar>
            <w:vAlign w:val="center"/>
          </w:tcPr>
          <w:p>
            <w:pPr>
              <w:jc w:val="right"/>
            </w:pPr>
            <w:r>
              <w:t xml:space="preserve">{merEstimatedFee}</w:t>
            </w:r>
          </w:p>
        </w:tc>
      </w:tr>
    </w:tbl>
    <w:p>
      <w:pPr>
        <w:spacing w:before="120"/>
      </w:pPr>
      <w:r>
        <w:rPr>
          <w:b/>
          <w:bCs/>
        </w:rPr>
        <w:t xml:space="preserve">Notes:</w:t>
      </w:r>
    </w:p>
    <w:p>
      <w:pPr>
        <w:pStyle w:val="ListParagraph"/>
        <w:numPr>
          <w:ilvl w:val="0"/>
          <w:numId w:val="2"/>
        </w:numPr>
      </w:pPr>
      <w:r>
        <w:t xml:space="preserve">{merEstimateNote}</w:t>
      </w:r>
    </w:p>
    <w:p>
      <w:r>
        <w:t xml:space="preserve">{/isEstimateMER}</w:t>
      </w:r>
    </w:p>
    <w:p>
      <w:pPr>
        <w:pStyle w:val="ListParagraph"/>
        <w:numPr>
          <w:ilvl w:val="0"/>
          <w:numId w:val="2"/>
        </w:numPr>
      </w:pPr>
      <w:r>
        <w:t xml:space="preserve">These fees are indirect and charged by the investment managers on the funds under management. They are typically deducted from the assets of the fund, reducing distributions or performance returns, and are not directly paid by you.</w:t>
      </w:r>
    </w:p>
    <w:p>
      <w:pPr>
        <w:pStyle w:val="ListParagraph"/>
        <w:numPr>
          <w:ilvl w:val="0"/>
          <w:numId w:val="2"/>
        </w:numPr>
      </w:pPr>
      <w:r>
        <w:t xml:space="preserve">Management Expense Ratio (MER) – The fund manager, responsible entity or other institution operating the recommended investments charge ongoing fees and expenses for the investment's ongoing management. The Management Expense Ratio (MER) is an estimate of the total of these fees and expenses charged to the investment expressed as a percentage of the average net assets held. The MER is used rather than showing an itemised list of all fees and expenses. The investment's MER is not paid to the adviser or licensee. You should refer to the Product Disclosure Statement issued for the investment to determine the actual MER (which may be estimated on an annualised basis or expressed as a range).</w:t>
      </w:r>
    </w:p>
    <w:p>
      <w:pPr>
        <w:pStyle w:val="ListParagraph"/>
        <w:numPr>
          <w:ilvl w:val="0"/>
          <w:numId w:val="2"/>
        </w:numPr>
      </w:pPr>
      <w:r>
        <w:t xml:space="preserve">Each managed fund has ongoing management fees and charges. The ongoing fees are usually expressed as an Indirect Cost Ratio or more commonly ICR - as a % p.a. of the average value of the fund over the year. The ICR is calculated for each financial year.</w:t>
      </w:r>
    </w:p>
    <w:p>
      <w:pPr>
        <w:pStyle w:val="ListParagraph"/>
        <w:numPr>
          <w:ilvl w:val="0"/>
          <w:numId w:val="2"/>
        </w:numPr>
      </w:pPr>
      <w:r>
        <w:t xml:space="preserve">Buy-Sell Differential Underlying fund managers or responsible entities usually provide a spread between the buying and selling price of the investments they operate. This represents a cost for the buying and selling of investments and will only occur when units in the investment are bought or sold. This cost usually does not exceed 1% and is generally less than 0.5% of an investment's unit price. You should refer to the Product Disclosure Statement issued for the investment.</w:t>
      </w:r>
    </w:p>
    <w:p>
      <w:pPr>
        <w:pStyle w:val="ListParagraph"/>
        <w:numPr>
          <w:ilvl w:val="0"/>
          <w:numId w:val="2"/>
        </w:numPr>
      </w:pPr>
      <w:r>
        <w:t xml:space="preserve">Please refer to the PDS for a detailed overview of fees and charges.</w:t>
      </w:r>
    </w:p>
    <w:p>
      <w:r>
        <w:t xml:space="preserve">{/hasMER}</w:t>
      </w:r>
    </w:p>
    <w:p>
      <w:pPr>
        <w:spacing w:before="200"/>
      </w:pPr>
      <w:r>
        <w:rPr>
          <w:b/>
          <w:bCs/>
        </w:rPr>
        <w:t xml:space="preserve">Brokerage</w:t>
      </w:r>
    </w:p>
    <w:p>
      <w:pPr>
        <w:spacing w:after="120"/>
      </w:pPr>
      <w:r>
        <w:t xml:space="preserve">You will be entitled to unlimited brokerage-free transactions within the Portfolio Service account.</w:t>
      </w:r>
    </w:p>
    <w:p>
      <w:pPr>
        <w:spacing w:before="200"/>
      </w:pPr>
      <w:r>
        <w:rPr>
          <w:b/>
          <w:bCs/>
        </w:rPr>
        <w:t xml:space="preserve">Placement Fees</w:t>
      </w:r>
    </w:p>
    <w:p>
      <w:pPr>
        <w:spacing w:after="120"/>
      </w:pPr>
      <w:r>
        <w:t xml:space="preserve">From time to time, you may be offered investment opportunities such as placements and new issues. As a result of these, your adviser(s) may be entitled to receive a fee. Where this is the case, this will be disclosed in full to you at the appropriate time.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28"/>
      <w:szCs w:val="28"/>
    </w:rPr>
  </w:style>
  <w:style w:type="paragraph" w:styleId="Heading2">
    <w:name w:val="Heading 2"/>
    <w:basedOn w:val="Normal"/>
    <w:next w:val="Normal"/>
    <w:qFormat/>
    <w:pPr>
      <w:spacing w:before="200" w:after="100"/>
    </w:pPr>
    <w:rPr>
      <w:rFonts w:ascii="Arial" w:cs="Arial" w:eastAsia="Arial" w:hAnsi="Arial"/>
      <w:b/>
      <w:bCs/>
      <w:sz w:val="24"/>
      <w:szCs w:val="24"/>
    </w:rPr>
  </w:style>
  <w:style w:type="paragraph" w:styleId="Heading3">
    <w:name w:val="Heading 3"/>
    <w:basedOn w:val="Normal"/>
    <w:next w:val="Normal"/>
    <w:qFormat/>
    <w:pPr>
      <w:spacing w:before="160" w:after="80"/>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2026-01-27T06:15:21.171Z</dcterms:created>
  <dcterms:modified xsi:type="dcterms:W3CDTF">2026-01-27T06:15:21.172Z</dcterms:modified>
</cp:coreProperties>
</file>

<file path=docProps/custom.xml><?xml version="1.0" encoding="utf-8"?>
<Properties xmlns="http://schemas.openxmlformats.org/officeDocument/2006/custom-properties" xmlns:vt="http://schemas.openxmlformats.org/officeDocument/2006/docPropsVTypes"/>
</file>