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2573F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43F34CB" wp14:editId="77D925C3">
            <wp:simplePos x="0" y="0"/>
            <wp:positionH relativeFrom="column">
              <wp:posOffset>1771650</wp:posOffset>
            </wp:positionH>
            <wp:positionV relativeFrom="page">
              <wp:posOffset>2657475</wp:posOffset>
            </wp:positionV>
            <wp:extent cx="318135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35B892C" wp14:editId="19AA45A9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85062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-DAWLANCE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WD</w:t>
                            </w:r>
                            <w:r w:rsidR="00971E2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90</w:t>
                            </w:r>
                            <w:r w:rsidR="002573F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S70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SAGD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85062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-DAWLANCE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WD</w:t>
                      </w:r>
                      <w:r w:rsidR="00971E2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90</w:t>
                      </w:r>
                      <w:r w:rsidR="002573F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S70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SAGD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2B6F27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2B6F27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2B6F27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2B6F27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405A5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DAWLANCE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405A5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DAWLANCE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F27" w:rsidRDefault="002B6F27" w:rsidP="006843CF">
      <w:r>
        <w:separator/>
      </w:r>
    </w:p>
  </w:endnote>
  <w:endnote w:type="continuationSeparator" w:id="0">
    <w:p w:rsidR="002B6F27" w:rsidRDefault="002B6F2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F27" w:rsidRDefault="002B6F27" w:rsidP="006843CF">
      <w:r>
        <w:separator/>
      </w:r>
    </w:p>
  </w:footnote>
  <w:footnote w:type="continuationSeparator" w:id="0">
    <w:p w:rsidR="002B6F27" w:rsidRDefault="002B6F2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2573F0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E30C79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20</cp:revision>
  <dcterms:created xsi:type="dcterms:W3CDTF">2018-11-19T18:01:00Z</dcterms:created>
  <dcterms:modified xsi:type="dcterms:W3CDTF">2018-11-24T12:34:00Z</dcterms:modified>
</cp:coreProperties>
</file>