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5AE" w:rsidRPr="00D068FC" w:rsidRDefault="000C45AE" w:rsidP="003764DD">
      <w:pPr>
        <w:pStyle w:val="Heading1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 w:val="0"/>
          <w:color w:val="000000"/>
          <w:sz w:val="32"/>
          <w:szCs w:val="24"/>
        </w:rPr>
      </w:pPr>
      <w:r w:rsidRPr="00D068FC">
        <w:rPr>
          <w:rFonts w:asciiTheme="minorHAnsi" w:hAnsiTheme="minorHAnsi" w:cstheme="minorHAnsi"/>
          <w:b w:val="0"/>
          <w:sz w:val="32"/>
          <w:szCs w:val="24"/>
        </w:rPr>
        <w:t>FYSC12/</w:t>
      </w:r>
      <w:r w:rsidRPr="00D068FC">
        <w:rPr>
          <w:rFonts w:asciiTheme="minorHAnsi" w:hAnsiTheme="minorHAnsi" w:cstheme="minorHAnsi"/>
          <w:b w:val="0"/>
          <w:color w:val="2A2A2A"/>
          <w:sz w:val="32"/>
          <w:szCs w:val="24"/>
          <w:shd w:val="clear" w:color="auto" w:fill="FFFFFF"/>
        </w:rPr>
        <w:t>FKFN20</w:t>
      </w:r>
      <w:r w:rsidRPr="00D068FC">
        <w:rPr>
          <w:rFonts w:asciiTheme="minorHAnsi" w:hAnsiTheme="minorHAnsi" w:cstheme="minorHAnsi"/>
          <w:b w:val="0"/>
          <w:sz w:val="32"/>
          <w:szCs w:val="24"/>
        </w:rPr>
        <w:t xml:space="preserve">: </w:t>
      </w:r>
      <w:r w:rsidRPr="00D068FC">
        <w:rPr>
          <w:rFonts w:asciiTheme="minorHAnsi" w:hAnsiTheme="minorHAnsi" w:cstheme="minorHAnsi"/>
          <w:b w:val="0"/>
          <w:color w:val="000000"/>
          <w:sz w:val="32"/>
          <w:szCs w:val="24"/>
        </w:rPr>
        <w:t>Nuclear Physics and Reactors</w:t>
      </w:r>
      <w:r w:rsidR="003764DD" w:rsidRPr="00D068FC">
        <w:rPr>
          <w:rFonts w:asciiTheme="minorHAnsi" w:hAnsiTheme="minorHAnsi" w:cstheme="minorHAnsi"/>
          <w:b w:val="0"/>
          <w:color w:val="000000"/>
          <w:sz w:val="32"/>
          <w:szCs w:val="24"/>
        </w:rPr>
        <w:t xml:space="preserve">, </w:t>
      </w:r>
      <w:r w:rsidR="00376D80">
        <w:rPr>
          <w:rFonts w:asciiTheme="minorHAnsi" w:hAnsiTheme="minorHAnsi" w:cstheme="minorHAnsi"/>
          <w:b w:val="0"/>
          <w:color w:val="000000"/>
          <w:sz w:val="32"/>
          <w:szCs w:val="24"/>
        </w:rPr>
        <w:t>H</w:t>
      </w:r>
      <w:r w:rsidR="003764DD" w:rsidRPr="00D068FC">
        <w:rPr>
          <w:rFonts w:asciiTheme="minorHAnsi" w:hAnsiTheme="minorHAnsi" w:cstheme="minorHAnsi"/>
          <w:b w:val="0"/>
          <w:color w:val="000000"/>
          <w:sz w:val="32"/>
          <w:szCs w:val="24"/>
        </w:rPr>
        <w:t>T18</w:t>
      </w:r>
    </w:p>
    <w:p w:rsidR="000C45AE" w:rsidRPr="00D068FC" w:rsidRDefault="00ED7E7D" w:rsidP="003764DD">
      <w:pPr>
        <w:pStyle w:val="Heading1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 w:val="0"/>
          <w:color w:val="000000"/>
          <w:sz w:val="32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32"/>
          <w:szCs w:val="24"/>
        </w:rPr>
        <w:t xml:space="preserve">Instructions for </w:t>
      </w:r>
      <w:r w:rsidR="000C45AE" w:rsidRPr="00D068FC">
        <w:rPr>
          <w:rFonts w:asciiTheme="minorHAnsi" w:hAnsiTheme="minorHAnsi" w:cstheme="minorHAnsi"/>
          <w:b w:val="0"/>
          <w:color w:val="000000"/>
          <w:sz w:val="32"/>
          <w:szCs w:val="24"/>
        </w:rPr>
        <w:t>KF3</w:t>
      </w:r>
      <w:r w:rsidRPr="00D068FC">
        <w:rPr>
          <w:rFonts w:asciiTheme="minorHAnsi" w:hAnsiTheme="minorHAnsi" w:cstheme="minorHAnsi"/>
          <w:b w:val="0"/>
          <w:color w:val="000000"/>
          <w:sz w:val="32"/>
          <w:szCs w:val="24"/>
        </w:rPr>
        <w:t>:</w:t>
      </w:r>
      <w:r w:rsidR="000C45AE" w:rsidRPr="00D068FC">
        <w:rPr>
          <w:rFonts w:asciiTheme="minorHAnsi" w:hAnsiTheme="minorHAnsi" w:cstheme="minorHAnsi"/>
          <w:b w:val="0"/>
          <w:color w:val="000000"/>
          <w:sz w:val="32"/>
          <w:szCs w:val="24"/>
        </w:rPr>
        <w:t xml:space="preserve"> α-decay lab</w:t>
      </w:r>
    </w:p>
    <w:p w:rsidR="003764DD" w:rsidRPr="00D068FC" w:rsidRDefault="003764DD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3764DD" w:rsidRPr="00D068FC" w:rsidRDefault="00C949FC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color w:val="000000"/>
          <w:sz w:val="24"/>
          <w:szCs w:val="24"/>
        </w:rPr>
        <w:t>Administrative details</w:t>
      </w:r>
    </w:p>
    <w:p w:rsidR="0040125E" w:rsidRDefault="000C45AE" w:rsidP="000C45AE">
      <w:pPr>
        <w:pStyle w:val="Heading1"/>
        <w:shd w:val="clear" w:color="auto" w:fill="FFFFFF"/>
        <w:spacing w:before="0" w:beforeAutospacing="0" w:after="150" w:afterAutospacing="0"/>
        <w:rPr>
          <w:rStyle w:val="Hyperlink"/>
          <w:rFonts w:asciiTheme="minorHAnsi" w:hAnsiTheme="minorHAnsi" w:cstheme="minorHAnsi"/>
          <w:b w:val="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Instructor: </w:t>
      </w:r>
      <w:proofErr w:type="spellStart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Joochun</w:t>
      </w:r>
      <w:proofErr w:type="spellEnd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(Jason) Park</w:t>
      </w:r>
      <w:r w:rsidR="003764DD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, </w:t>
      </w:r>
      <w:r w:rsidR="00ED7E7D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office </w:t>
      </w:r>
      <w:r w:rsidR="003764DD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B217; </w:t>
      </w:r>
      <w:hyperlink r:id="rId5" w:history="1">
        <w:r w:rsidR="003764DD" w:rsidRPr="00D068FC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joochun.park@nuclear.lu.se</w:t>
        </w:r>
      </w:hyperlink>
    </w:p>
    <w:p w:rsidR="001D113B" w:rsidRPr="001D113B" w:rsidRDefault="001D113B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sz w:val="24"/>
          <w:szCs w:val="24"/>
          <w:lang w:val="sv-SE"/>
        </w:rPr>
      </w:pPr>
      <w:r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</w:rPr>
        <w:t>Guest instructor: Anton S</w:t>
      </w:r>
      <w:r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lang w:val="sv-SE"/>
        </w:rPr>
        <w:t>åmark-Roth</w:t>
      </w:r>
    </w:p>
    <w:p w:rsidR="0040125E" w:rsidRPr="00D068FC" w:rsidRDefault="0040125E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KF3 dates: Oct. 9-12, 2018 (Tues.-Thurs.)</w:t>
      </w:r>
    </w:p>
    <w:p w:rsidR="003764DD" w:rsidRPr="00D068FC" w:rsidRDefault="004B393E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Lab times</w:t>
      </w:r>
      <w:r w:rsidR="0040125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/location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: 8:30-</w:t>
      </w:r>
      <w:r w:rsidR="003764DD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15:15; coffee break 10:00-10:15; lunch break 12:00-13:15 (approximate)</w:t>
      </w:r>
    </w:p>
    <w:p w:rsidR="00952317" w:rsidRPr="00D068FC" w:rsidRDefault="000F5817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Make-up lab</w:t>
      </w:r>
      <w:r w:rsidR="00952317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policy: attend on a different day of the week, but notify the instructor;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for </w:t>
      </w:r>
      <w:r w:rsidR="00952317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serious emergencies, </w:t>
      </w:r>
      <w:r w:rsidR="00482AB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it is </w:t>
      </w:r>
      <w:r w:rsidR="00952317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negotiable depending on </w:t>
      </w:r>
      <w:r w:rsidR="00482AB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the circumstance</w:t>
      </w:r>
    </w:p>
    <w:p w:rsidR="00615A9B" w:rsidRPr="00D068FC" w:rsidRDefault="00704B1D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Attending the introduction lecture and signing</w:t>
      </w:r>
      <w:r w:rsidR="00615A9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to acknowledge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the safety orientation on September 24 is mandatory to participate in KF3</w:t>
      </w:r>
      <w:r w:rsidR="007009F4">
        <w:rPr>
          <w:rFonts w:asciiTheme="minorHAnsi" w:hAnsiTheme="minorHAnsi" w:cstheme="minorHAnsi"/>
          <w:b w:val="0"/>
          <w:color w:val="000000"/>
          <w:sz w:val="24"/>
          <w:szCs w:val="24"/>
        </w:rPr>
        <w:t>!</w:t>
      </w:r>
      <w:r w:rsidR="00952317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</w:p>
    <w:p w:rsidR="00704B1D" w:rsidRPr="00D068FC" w:rsidRDefault="00F60987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color w:val="000000"/>
          <w:sz w:val="24"/>
          <w:szCs w:val="24"/>
        </w:rPr>
        <w:t>Preparation and resources</w:t>
      </w:r>
    </w:p>
    <w:p w:rsidR="00380C89" w:rsidRPr="00D068FC" w:rsidRDefault="00A75702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K. S. </w:t>
      </w:r>
      <w:proofErr w:type="spellStart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Krane</w:t>
      </w:r>
      <w:proofErr w:type="spellEnd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, </w:t>
      </w:r>
      <w:r w:rsidR="00650CF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Introductory nuclear physics;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chapter </w:t>
      </w:r>
      <w:r w:rsidR="00380C8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6.5 (</w:t>
      </w:r>
      <w:r w:rsidR="006A262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short section on α </w:t>
      </w:r>
      <w:r w:rsidR="00380C8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decay</w:t>
      </w:r>
      <w:r w:rsidR="00650CF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only</w:t>
      </w:r>
      <w:r w:rsidR="00380C8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), 7.1</w:t>
      </w:r>
      <w:r w:rsidR="006A262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up to Eq. 7.6</w:t>
      </w:r>
      <w:r w:rsidR="00380C8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, </w:t>
      </w:r>
      <w:r w:rsidR="006A262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chapter </w:t>
      </w:r>
      <w:r w:rsidR="00380C8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7.4</w:t>
      </w:r>
      <w:r w:rsidR="006A262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,</w:t>
      </w:r>
      <w:r w:rsidR="00380C8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8.1-4</w:t>
      </w:r>
    </w:p>
    <w:p w:rsidR="00650CF5" w:rsidRPr="00D068FC" w:rsidRDefault="00650CF5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Comprehensive database for all nucle</w:t>
      </w:r>
      <w:r w:rsidR="009B4C9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ar properties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: </w:t>
      </w:r>
      <w:hyperlink r:id="rId6" w:history="1">
        <w:r w:rsidRPr="00D068FC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https://www.nndc.bnl.gov</w:t>
        </w:r>
      </w:hyperlink>
    </w:p>
    <w:p w:rsidR="00FC52A4" w:rsidRPr="00D068FC" w:rsidRDefault="00FC52A4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Bring your laptop with a programming environment (python, C++, </w:t>
      </w:r>
      <w:r w:rsidR="003F0A61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MATLAB, </w:t>
      </w:r>
      <w:proofErr w:type="spellStart"/>
      <w:r w:rsidR="003F0A61">
        <w:rPr>
          <w:rFonts w:asciiTheme="minorHAnsi" w:hAnsiTheme="minorHAnsi" w:cstheme="minorHAnsi"/>
          <w:b w:val="0"/>
          <w:color w:val="000000"/>
          <w:sz w:val="24"/>
          <w:szCs w:val="24"/>
        </w:rPr>
        <w:t>etc</w:t>
      </w:r>
      <w:proofErr w:type="spellEnd"/>
      <w:r w:rsidR="003F0A61">
        <w:rPr>
          <w:rFonts w:asciiTheme="minorHAnsi" w:hAnsiTheme="minorHAnsi" w:cstheme="minorHAnsi"/>
          <w:b w:val="0"/>
          <w:color w:val="000000"/>
          <w:sz w:val="24"/>
          <w:szCs w:val="24"/>
        </w:rPr>
        <w:t>) for calculat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ions</w:t>
      </w:r>
      <w:r w:rsidR="00C3520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; one machine may be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shared between partners</w:t>
      </w:r>
    </w:p>
    <w:p w:rsidR="000C45AE" w:rsidRPr="00D068FC" w:rsidRDefault="0059690E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color w:val="000000"/>
          <w:sz w:val="24"/>
          <w:szCs w:val="24"/>
        </w:rPr>
        <w:t>Introduction</w:t>
      </w:r>
    </w:p>
    <w:p w:rsidR="003764DD" w:rsidRPr="00D068FC" w:rsidRDefault="00C3520B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An alpha decay is one of the three most common decay modes of unstable atomic nuclei. </w:t>
      </w:r>
      <w:r w:rsidR="0043798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It is an emission of a </w:t>
      </w:r>
      <w:r w:rsidR="00437989"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4</w:t>
      </w:r>
      <w:r w:rsidR="0043798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He nucleus from an atomic nucleus, usually from a heavy element. In this lab we will measure the kinetic energies of the α particles </w:t>
      </w:r>
      <w:r w:rsidR="0008267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from different </w:t>
      </w:r>
      <w:r w:rsidR="008B18A6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species and gain some understanding of the nuclear structure and α-decay radiation principles.</w:t>
      </w:r>
    </w:p>
    <w:p w:rsidR="00082678" w:rsidRPr="00D068FC" w:rsidRDefault="00082678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The learning outcomes are:</w:t>
      </w:r>
    </w:p>
    <w:p w:rsidR="005649C3" w:rsidRPr="00D068FC" w:rsidRDefault="008B18A6" w:rsidP="005649C3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Assembly</w:t>
      </w:r>
      <w:r w:rsidR="00EE6E52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and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optimization</w:t>
      </w:r>
      <w:r w:rsidR="00EE6E52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of experimental </w:t>
      </w:r>
      <w:r w:rsidR="00E022D5">
        <w:rPr>
          <w:rFonts w:asciiTheme="minorHAnsi" w:hAnsiTheme="minorHAnsi" w:cstheme="minorHAnsi"/>
          <w:b w:val="0"/>
          <w:color w:val="000000"/>
          <w:sz w:val="24"/>
          <w:szCs w:val="24"/>
        </w:rPr>
        <w:t>setup</w:t>
      </w:r>
    </w:p>
    <w:p w:rsidR="001B2092" w:rsidRPr="00D068FC" w:rsidRDefault="001B2092" w:rsidP="005649C3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Statistics and error propagation</w:t>
      </w:r>
    </w:p>
    <w:p w:rsidR="008B18A6" w:rsidRPr="00D068FC" w:rsidRDefault="008B18A6" w:rsidP="008B18A6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Principles of Si surface barrier </w:t>
      </w:r>
      <w:r w:rsidR="00DC43A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semiconductor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detector for </w:t>
      </w:r>
      <w:r w:rsidR="00DC43A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α particles</w:t>
      </w:r>
    </w:p>
    <w:p w:rsidR="00F126D1" w:rsidRPr="00D068FC" w:rsidRDefault="00F126D1" w:rsidP="00F126D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Kinematics of α decays</w:t>
      </w:r>
    </w:p>
    <w:p w:rsidR="00E30742" w:rsidRPr="00D068FC" w:rsidRDefault="00E30742" w:rsidP="008B18A6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Comparison of Bethe-Bloch energy loss equation to </w:t>
      </w:r>
      <w:r w:rsidR="00D47083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experimental data</w:t>
      </w:r>
    </w:p>
    <w:p w:rsidR="00D47083" w:rsidRPr="00D068FC" w:rsidRDefault="00417BDE" w:rsidP="008B18A6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Identification of α-decay chain of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228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Th to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208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Pb</w:t>
      </w:r>
      <w:r w:rsidR="0094685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and the nuclear shell effects</w:t>
      </w:r>
    </w:p>
    <w:p w:rsidR="008B18A6" w:rsidRDefault="008B18A6" w:rsidP="004908F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3F0A61" w:rsidRPr="00D068FC" w:rsidRDefault="003F0A61" w:rsidP="004908F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5649C3" w:rsidRPr="00D068FC" w:rsidRDefault="005649C3" w:rsidP="004908F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color w:val="000000"/>
          <w:sz w:val="24"/>
          <w:szCs w:val="24"/>
        </w:rPr>
        <w:lastRenderedPageBreak/>
        <w:t>Background</w:t>
      </w:r>
    </w:p>
    <w:p w:rsidR="00437989" w:rsidRPr="00D068FC" w:rsidRDefault="00112AE0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During the alpha decay, the excess binding energy of the mother nucleus is distributed as follows:</w:t>
      </w:r>
    </w:p>
    <w:p w:rsidR="00112AE0" w:rsidRPr="00D068FC" w:rsidRDefault="008169BA" w:rsidP="00112AE0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E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bscript"/>
        </w:rPr>
        <w:t>α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: </w:t>
      </w:r>
      <w:r w:rsidR="00112AE0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The kinetic energy of the emitted α particle</w:t>
      </w:r>
    </w:p>
    <w:p w:rsidR="00112AE0" w:rsidRPr="00D068FC" w:rsidRDefault="00112AE0" w:rsidP="00112AE0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The recoil kinetic energy of the daughter nucleus</w:t>
      </w:r>
    </w:p>
    <w:p w:rsidR="00112AE0" w:rsidRPr="00D068FC" w:rsidRDefault="00C42741" w:rsidP="00112AE0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(optional) excitation energy of the daughter nucleus</w:t>
      </w:r>
      <w:r w:rsidR="0071679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, which may then de</w:t>
      </w:r>
      <w:r w:rsidR="00461973">
        <w:rPr>
          <w:rFonts w:asciiTheme="minorHAnsi" w:hAnsiTheme="minorHAnsi" w:cstheme="minorHAnsi"/>
          <w:b w:val="0"/>
          <w:color w:val="000000"/>
          <w:sz w:val="24"/>
          <w:szCs w:val="24"/>
        </w:rPr>
        <w:t>-</w:t>
      </w:r>
      <w:r w:rsidR="0071679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excite by γ rays</w:t>
      </w:r>
    </w:p>
    <w:p w:rsidR="00B35F6F" w:rsidRPr="00D068FC" w:rsidRDefault="0071679A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The total output energy </w:t>
      </w:r>
      <w:r w:rsidR="00B35F6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from the decay is called Q (Eq. 8.3 in </w:t>
      </w:r>
      <w:proofErr w:type="spellStart"/>
      <w:r w:rsidR="00B35F6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Krane</w:t>
      </w:r>
      <w:proofErr w:type="spellEnd"/>
      <w:r w:rsidR="00B35F6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).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Note that the formulae in section 8.2 in </w:t>
      </w:r>
      <w:proofErr w:type="spellStart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Krane</w:t>
      </w:r>
      <w:proofErr w:type="spellEnd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assume that the daughter nucleus is not placed in an excited state during the decay. If the excitation energy is </w:t>
      </w:r>
      <w:r w:rsidR="00B35F6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included, then Eq. 8.7 is revised to</w:t>
      </w:r>
    </w:p>
    <w:p w:rsidR="00B35F6F" w:rsidRPr="00D068FC" w:rsidRDefault="003F0A61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b w:val="0"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i</m:t>
              </m:r>
            </m:sup>
          </m:sSubSup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≈(Q-</m:t>
          </m:r>
          <m:sSup>
            <m:sSupPr>
              <m:ctrlPr>
                <w:rPr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)(1-</m:t>
          </m:r>
          <m:f>
            <m:fPr>
              <m:ctrlPr>
                <w:rPr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)</m:t>
          </m:r>
        </m:oMath>
      </m:oMathPara>
    </w:p>
    <w:p w:rsidR="005649C3" w:rsidRPr="00D068FC" w:rsidRDefault="00B35F6F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where </w:t>
      </w:r>
      <w:proofErr w:type="spellStart"/>
      <w:r w:rsidRPr="00D068FC">
        <w:rPr>
          <w:rFonts w:asciiTheme="minorHAnsi" w:hAnsiTheme="minorHAnsi" w:cstheme="minorHAnsi"/>
          <w:b w:val="0"/>
          <w:i/>
          <w:color w:val="000000"/>
          <w:sz w:val="24"/>
          <w:szCs w:val="24"/>
        </w:rPr>
        <w:t>E</w:t>
      </w:r>
      <w:r w:rsidRPr="00D068FC">
        <w:rPr>
          <w:rFonts w:asciiTheme="minorHAnsi" w:hAnsiTheme="minorHAnsi" w:cstheme="minorHAnsi"/>
          <w:b w:val="0"/>
          <w:i/>
          <w:color w:val="000000"/>
          <w:sz w:val="24"/>
          <w:szCs w:val="24"/>
          <w:vertAlign w:val="superscript"/>
        </w:rPr>
        <w:t>i</w:t>
      </w:r>
      <w:proofErr w:type="spellEnd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is the excitation energy in the daughter nucleus, and </w:t>
      </w:r>
      <w:r w:rsidRPr="00D068FC">
        <w:rPr>
          <w:rFonts w:asciiTheme="minorHAnsi" w:hAnsiTheme="minorHAnsi" w:cstheme="minorHAnsi"/>
          <w:b w:val="0"/>
          <w:i/>
          <w:color w:val="000000"/>
          <w:sz w:val="24"/>
          <w:szCs w:val="24"/>
        </w:rPr>
        <w:t>A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is the mass number of the parent nucleus.</w:t>
      </w:r>
      <w:r w:rsidR="0071679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8C363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We can calculate the </w:t>
      </w:r>
      <w:r w:rsidR="00886B7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velocities of the outgoing particles and </w:t>
      </w:r>
      <w:r w:rsidR="003E1BDD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determine </w:t>
      </w:r>
      <w:r w:rsidR="00886B7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whether they can be treated classically.</w:t>
      </w:r>
      <w:r w:rsidR="008C363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</w:p>
    <w:p w:rsidR="00E72DB8" w:rsidRPr="00D068FC" w:rsidRDefault="00E72DB8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Usually α decays of heavy nuclei form a decay chain of subsequent </w:t>
      </w:r>
      <w:r w:rsidR="00AF39E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daughter nuclei also emitting α particles. However, the decay chain may involve alternative modes, such as β decays. How can β decays compete with α decays in certain nuclei? This can be explained </w:t>
      </w:r>
      <w:r w:rsidR="008C6B64">
        <w:rPr>
          <w:rFonts w:asciiTheme="minorHAnsi" w:hAnsiTheme="minorHAnsi" w:cstheme="minorHAnsi"/>
          <w:b w:val="0"/>
          <w:color w:val="000000"/>
          <w:sz w:val="24"/>
          <w:szCs w:val="24"/>
        </w:rPr>
        <w:t>with a</w:t>
      </w:r>
      <w:r w:rsidR="00AF39E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nuclear shell model description </w:t>
      </w:r>
      <w:r w:rsidR="00461973">
        <w:rPr>
          <w:rFonts w:asciiTheme="minorHAnsi" w:hAnsiTheme="minorHAnsi" w:cstheme="minorHAnsi"/>
          <w:b w:val="0"/>
          <w:color w:val="000000"/>
          <w:sz w:val="24"/>
          <w:szCs w:val="24"/>
        </w:rPr>
        <w:t>of</w:t>
      </w:r>
      <w:r w:rsidR="002B6853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the</w:t>
      </w:r>
      <w:r w:rsidR="00AF39E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2B6853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Z ~</w:t>
      </w:r>
      <w:r w:rsidR="00AF39E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82 species.</w:t>
      </w:r>
    </w:p>
    <w:p w:rsidR="00AF39EC" w:rsidRPr="00D068FC" w:rsidRDefault="008905BC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We will also </w:t>
      </w:r>
      <w:r w:rsidR="000A7056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measure the range </w:t>
      </w:r>
      <w:r w:rsidR="008C363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and energy loss </w:t>
      </w:r>
      <w:r w:rsidR="000A7056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of α particles in a</w:t>
      </w:r>
      <w:r w:rsidR="008C363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ir and compare the </w:t>
      </w:r>
      <w:r w:rsidR="00D068F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experimental </w:t>
      </w:r>
      <w:r w:rsidR="008C363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results with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the </w:t>
      </w:r>
      <w:r w:rsidR="00793247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Bethe-Bloch </w:t>
      </w:r>
      <w:r w:rsidR="000A7056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formula (Eq. 7.3 and 7.4 in </w:t>
      </w:r>
      <w:proofErr w:type="spellStart"/>
      <w:r w:rsidR="000A7056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Krane</w:t>
      </w:r>
      <w:proofErr w:type="spellEnd"/>
      <w:r w:rsidR="000A7056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).</w:t>
      </w:r>
      <w:r w:rsidR="008C363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E077C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</w:p>
    <w:p w:rsidR="005649C3" w:rsidRPr="00D068FC" w:rsidRDefault="005649C3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color w:val="000000"/>
          <w:sz w:val="24"/>
          <w:szCs w:val="24"/>
        </w:rPr>
        <w:t>Experiment method</w:t>
      </w:r>
      <w:r w:rsidR="00766791" w:rsidRPr="00D068FC">
        <w:rPr>
          <w:rFonts w:asciiTheme="minorHAnsi" w:hAnsiTheme="minorHAnsi" w:cstheme="minorHAnsi"/>
          <w:color w:val="000000"/>
          <w:sz w:val="24"/>
          <w:szCs w:val="24"/>
        </w:rPr>
        <w:t xml:space="preserve"> and planned schedule</w:t>
      </w:r>
    </w:p>
    <w:p w:rsidR="0014140F" w:rsidRPr="00D068FC" w:rsidRDefault="0014140F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The main apparatus for alpha decay spectroscopy is shown below.</w:t>
      </w:r>
    </w:p>
    <w:p w:rsidR="004A5F3D" w:rsidRPr="00D068FC" w:rsidRDefault="005824F8" w:rsidP="005824F8">
      <w:pPr>
        <w:pStyle w:val="Heading1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noProof/>
          <w:color w:val="000000"/>
          <w:sz w:val="24"/>
          <w:szCs w:val="24"/>
        </w:rPr>
        <w:drawing>
          <wp:inline distT="0" distB="0" distL="0" distR="0">
            <wp:extent cx="3585334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580" cy="31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8" w:rsidRPr="00D068FC" w:rsidRDefault="0014140F" w:rsidP="00582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8FC">
        <w:rPr>
          <w:rFonts w:cstheme="minorHAnsi"/>
          <w:sz w:val="24"/>
          <w:szCs w:val="24"/>
        </w:rPr>
        <w:lastRenderedPageBreak/>
        <w:t>The components are:</w:t>
      </w:r>
    </w:p>
    <w:p w:rsidR="005824F8" w:rsidRPr="00D068FC" w:rsidRDefault="005824F8" w:rsidP="00582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5824F8" w:rsidRPr="00D068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24F8" w:rsidRPr="00D068FC" w:rsidRDefault="005824F8" w:rsidP="00582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8FC">
        <w:rPr>
          <w:rFonts w:cstheme="minorHAnsi"/>
          <w:sz w:val="24"/>
          <w:szCs w:val="24"/>
        </w:rPr>
        <w:lastRenderedPageBreak/>
        <w:t>1. Si surface barrier detector</w:t>
      </w:r>
    </w:p>
    <w:p w:rsidR="005824F8" w:rsidRPr="00D068FC" w:rsidRDefault="005824F8" w:rsidP="00582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8FC">
        <w:rPr>
          <w:rFonts w:cstheme="minorHAnsi"/>
          <w:sz w:val="24"/>
          <w:szCs w:val="24"/>
        </w:rPr>
        <w:t>2. Slots for radioactive specimen</w:t>
      </w:r>
    </w:p>
    <w:p w:rsidR="005824F8" w:rsidRPr="00D068FC" w:rsidRDefault="005824F8" w:rsidP="00582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8FC">
        <w:rPr>
          <w:rFonts w:cstheme="minorHAnsi"/>
          <w:sz w:val="24"/>
          <w:szCs w:val="24"/>
        </w:rPr>
        <w:t>3. Knob to switch samples</w:t>
      </w:r>
    </w:p>
    <w:p w:rsidR="005824F8" w:rsidRPr="00D068FC" w:rsidRDefault="005824F8" w:rsidP="00582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8FC">
        <w:rPr>
          <w:rFonts w:cstheme="minorHAnsi"/>
          <w:sz w:val="24"/>
          <w:szCs w:val="24"/>
        </w:rPr>
        <w:t>4. Signal output/preamplifier power supply</w:t>
      </w:r>
      <w:r w:rsidR="00D068FC" w:rsidRPr="00D068FC">
        <w:rPr>
          <w:rFonts w:cstheme="minorHAnsi"/>
          <w:sz w:val="24"/>
          <w:szCs w:val="24"/>
        </w:rPr>
        <w:t xml:space="preserve"> interface</w:t>
      </w:r>
    </w:p>
    <w:p w:rsidR="005824F8" w:rsidRPr="00D068FC" w:rsidRDefault="005824F8" w:rsidP="00582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8FC">
        <w:rPr>
          <w:rFonts w:cstheme="minorHAnsi"/>
          <w:sz w:val="24"/>
          <w:szCs w:val="24"/>
        </w:rPr>
        <w:lastRenderedPageBreak/>
        <w:t>5. Pipe connected to vacuum pump</w:t>
      </w:r>
    </w:p>
    <w:p w:rsidR="005824F8" w:rsidRPr="00D068FC" w:rsidRDefault="005824F8" w:rsidP="00582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8FC">
        <w:rPr>
          <w:rFonts w:cstheme="minorHAnsi"/>
          <w:sz w:val="24"/>
          <w:szCs w:val="24"/>
        </w:rPr>
        <w:t xml:space="preserve">6. Pipe connected to barometer </w:t>
      </w:r>
    </w:p>
    <w:p w:rsidR="005824F8" w:rsidRPr="00D068FC" w:rsidRDefault="005824F8" w:rsidP="00582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5824F8" w:rsidRPr="00D068FC" w:rsidSect="005824F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068FC">
        <w:rPr>
          <w:rFonts w:cstheme="minorHAnsi"/>
          <w:sz w:val="24"/>
          <w:szCs w:val="24"/>
        </w:rPr>
        <w:t>7. Vacuum valve</w:t>
      </w:r>
    </w:p>
    <w:p w:rsidR="005824F8" w:rsidRPr="00D068FC" w:rsidRDefault="005824F8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996304" w:rsidRPr="00D068FC" w:rsidRDefault="00996304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</w:pP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>Additional equipment and materials to be used in this lab are:</w:t>
      </w:r>
    </w:p>
    <w:p w:rsidR="00996304" w:rsidRPr="00D068FC" w:rsidRDefault="00996304" w:rsidP="00996304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</w:pP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>Preamplifier box</w:t>
      </w:r>
    </w:p>
    <w:p w:rsidR="00996304" w:rsidRPr="00D068FC" w:rsidRDefault="00996304" w:rsidP="00996304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</w:pP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 xml:space="preserve">Crate containing signal amplifier/shaper and </w:t>
      </w:r>
      <w:r w:rsidR="00BE0A18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>preamplifier bias</w:t>
      </w: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 xml:space="preserve"> power supply modules</w:t>
      </w:r>
    </w:p>
    <w:p w:rsidR="00996304" w:rsidRPr="00D068FC" w:rsidRDefault="00996304" w:rsidP="00996304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</w:pP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>Barometer for pressure reading</w:t>
      </w:r>
      <w:r w:rsidR="00C25FE3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 xml:space="preserve"> of the vacuum chamber</w:t>
      </w:r>
    </w:p>
    <w:p w:rsidR="00996304" w:rsidRPr="00D068FC" w:rsidRDefault="00996304" w:rsidP="00996304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</w:pP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>Roughing pump</w:t>
      </w:r>
    </w:p>
    <w:p w:rsidR="00996304" w:rsidRPr="00D068FC" w:rsidRDefault="00C25FE3" w:rsidP="00996304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</w:pP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 xml:space="preserve">Multichannel analyzer (MCA) by </w:t>
      </w:r>
      <w:proofErr w:type="spellStart"/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>Ortec</w:t>
      </w:r>
      <w:proofErr w:type="spellEnd"/>
    </w:p>
    <w:p w:rsidR="00C25FE3" w:rsidRPr="00D068FC" w:rsidRDefault="00C25FE3" w:rsidP="00996304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</w:pP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 xml:space="preserve">Data acquisition </w:t>
      </w:r>
      <w:r w:rsidR="00C67BE9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 xml:space="preserve">(DAQ) </w:t>
      </w: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>PC with Maestro to read out MCA data</w:t>
      </w:r>
    </w:p>
    <w:p w:rsidR="00C67BE9" w:rsidRPr="00D068FC" w:rsidRDefault="00C67BE9" w:rsidP="00996304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</w:pP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>Oscilloscope to see amplified signals</w:t>
      </w:r>
    </w:p>
    <w:p w:rsidR="00C25FE3" w:rsidRPr="00D068FC" w:rsidRDefault="00C25FE3" w:rsidP="00996304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</w:pP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vertAlign w:val="superscript"/>
          <w:lang w:eastAsia="ko-KR"/>
        </w:rPr>
        <w:t>241</w:t>
      </w: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 xml:space="preserve">Am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α source for energy calibration</w:t>
      </w:r>
    </w:p>
    <w:p w:rsidR="00C67BE9" w:rsidRPr="00D068FC" w:rsidRDefault="00C25FE3" w:rsidP="00C67BE9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228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 α source for spectroscopy measurements</w:t>
      </w:r>
    </w:p>
    <w:p w:rsidR="00996304" w:rsidRPr="00D068FC" w:rsidRDefault="00996304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  <w:lang w:eastAsia="ko-KR"/>
        </w:rPr>
      </w:pPr>
    </w:p>
    <w:p w:rsidR="00082C1C" w:rsidRPr="00D068FC" w:rsidRDefault="00082C1C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Activities for detector setup and energy calibration</w:t>
      </w:r>
    </w:p>
    <w:p w:rsidR="0014140F" w:rsidRPr="00D068FC" w:rsidRDefault="0014140F" w:rsidP="006F202C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Review Fig. 7.23 on page 220 of </w:t>
      </w:r>
      <w:proofErr w:type="spellStart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Krane</w:t>
      </w:r>
      <w:proofErr w:type="spellEnd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and connect the cables in the right places for the setup to work.</w:t>
      </w:r>
      <w:r w:rsidR="00082C1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Use the unipolar output channel and set the baseline correction scheme to “</w:t>
      </w:r>
      <w:proofErr w:type="spellStart"/>
      <w:r w:rsidR="00082C1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blr</w:t>
      </w:r>
      <w:proofErr w:type="spellEnd"/>
      <w:r w:rsidR="00082C1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”. Connect the output of the amplifier to the oscilloscope rather than the MCA for now.</w:t>
      </w:r>
    </w:p>
    <w:p w:rsidR="00082C1C" w:rsidRPr="00D068FC" w:rsidRDefault="00082C1C" w:rsidP="00082C1C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Place the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241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Am source inside the vacuum chamber for energy calibration. Try to get it reasonably close to the detector, in order to collect enough statistics quickly.</w:t>
      </w:r>
    </w:p>
    <w:p w:rsidR="006F202C" w:rsidRPr="00D068FC" w:rsidRDefault="00082C1C" w:rsidP="006F202C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Turn</w:t>
      </w:r>
      <w:r w:rsidR="006F202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on the vacuum pump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. It takes a long time to reach the maximum vacuum, but measurements can begin immediately.</w:t>
      </w:r>
    </w:p>
    <w:p w:rsidR="00082C1C" w:rsidRPr="00D068FC" w:rsidRDefault="00082C1C" w:rsidP="00082C1C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Raise the high voltage to 80 V and look at the scope. Do you see any signals? If so, connect the amplified signal output cable to the MCA.</w:t>
      </w:r>
      <w:r w:rsidR="00CE5170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</w:p>
    <w:p w:rsidR="00082C1C" w:rsidRPr="00D068FC" w:rsidRDefault="00C67BE9" w:rsidP="00082C1C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Open the Maestro application on the DAQ PC and collect data for 1 minute. </w:t>
      </w:r>
      <w:r w:rsidR="00CE5170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Adjust the gain on the amplifier and the range setting of the MCA so that the peak is positioned near the middle of the spectrum.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Use the software tools to determine the centroid of the distribution.</w:t>
      </w:r>
      <w:r w:rsidR="004F68F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Take note of the FWHM also.</w:t>
      </w:r>
    </w:p>
    <w:p w:rsidR="00C67BE9" w:rsidRPr="00D068FC" w:rsidRDefault="004F68FE" w:rsidP="00082C1C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Clear the energy spectrum in Maestro and increase the high voltage to 90 V. Collect new data. What changes do you see?</w:t>
      </w:r>
    </w:p>
    <w:p w:rsidR="004F68FE" w:rsidRPr="00D068FC" w:rsidRDefault="004F68FE" w:rsidP="00082C1C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lastRenderedPageBreak/>
        <w:t xml:space="preserve">Repeat step 6 with increments of 10 V up to 120 V. </w:t>
      </w:r>
      <w:r w:rsidR="00362A6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Record each set of measured values (centroid and FWHM).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What do you notice?</w:t>
      </w:r>
      <w:r w:rsidR="00CE5170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Did the peak positions change? How about FWHM?</w:t>
      </w:r>
    </w:p>
    <w:p w:rsidR="00CE5170" w:rsidRPr="00D068FC" w:rsidRDefault="00CE5170" w:rsidP="00082C1C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Use the centroid channel value at 120 V to </w:t>
      </w:r>
      <w:r w:rsidR="00F1031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calibrate the system in Maestro</w:t>
      </w:r>
      <w:r w:rsidR="00876B93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(“Calibrate” button)</w:t>
      </w:r>
      <w:r w:rsidR="00F1031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.</w:t>
      </w:r>
      <w:r w:rsidR="00823A94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The main peak has a literature E</w:t>
      </w:r>
      <w:r w:rsidR="00823A94"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bscript"/>
        </w:rPr>
        <w:t>α</w:t>
      </w:r>
      <w:r w:rsidR="00823A94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value of 5486 </w:t>
      </w:r>
      <w:proofErr w:type="spellStart"/>
      <w:r w:rsidR="00823A94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keV</w:t>
      </w:r>
      <w:proofErr w:type="spellEnd"/>
      <w:r w:rsidR="00823A94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.</w:t>
      </w:r>
      <w:r w:rsidR="00876B93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Note that the FWHM value is also calibrated in energy.</w:t>
      </w:r>
    </w:p>
    <w:p w:rsidR="0014140F" w:rsidRPr="00D068FC" w:rsidRDefault="002B72CB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Procedure for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228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 source measurement</w:t>
      </w:r>
    </w:p>
    <w:p w:rsidR="002B72CB" w:rsidRPr="00D068FC" w:rsidRDefault="0096232B" w:rsidP="002B72C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Evacuate the vacuum chamber by turning off the roughing pump and opening the valve.</w:t>
      </w:r>
    </w:p>
    <w:p w:rsidR="0096232B" w:rsidRPr="00D068FC" w:rsidRDefault="0096232B" w:rsidP="002B72C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Lift the lid of the vacuum chamber and with the 241Am source with a 228Th source. As it is likely to be weak, place it as close to the detector as possible.</w:t>
      </w:r>
    </w:p>
    <w:p w:rsidR="0096232B" w:rsidRPr="00D068FC" w:rsidRDefault="0096232B" w:rsidP="002B72C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Place the lid back on the chamber and start the roughing pump again.</w:t>
      </w:r>
    </w:p>
    <w:p w:rsidR="0096232B" w:rsidRPr="00D068FC" w:rsidRDefault="0096232B" w:rsidP="002B72C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Start a new data acquisition run in Maestro. Leave the setup to collect statistics over the lunch break.</w:t>
      </w:r>
    </w:p>
    <w:p w:rsidR="0096232B" w:rsidRPr="00D068FC" w:rsidRDefault="0096232B" w:rsidP="002B72C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(After lunch) Stop the data acquisition and turn off the roughing pump. Record each visible </w:t>
      </w:r>
      <w:r w:rsidR="00461973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and intense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peak’s energy and FWHM values.</w:t>
      </w:r>
    </w:p>
    <w:p w:rsidR="001F476A" w:rsidRPr="00D068FC" w:rsidRDefault="001F476A" w:rsidP="001F476A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Procedure for α energy </w:t>
      </w:r>
      <w:r w:rsidR="004A5970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loss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measurement in air</w:t>
      </w:r>
    </w:p>
    <w:p w:rsidR="001F476A" w:rsidRPr="00D068FC" w:rsidRDefault="001F476A" w:rsidP="001F476A">
      <w:pPr>
        <w:pStyle w:val="Heading1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Open the lid and switch the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228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Th sample with the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241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Am source.</w:t>
      </w:r>
      <w:r w:rsidR="0098401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Place the source </w:t>
      </w:r>
      <w:r w:rsidR="000C0167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about 1 </w:t>
      </w:r>
      <w:r w:rsidR="000C0167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  <w:lang w:eastAsia="ko-KR"/>
        </w:rPr>
        <w:t>cm from the detector, and well centered.</w:t>
      </w:r>
    </w:p>
    <w:p w:rsidR="001F476A" w:rsidRPr="00D068FC" w:rsidRDefault="0098401B" w:rsidP="001F476A">
      <w:pPr>
        <w:pStyle w:val="Heading1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Using a ruler, measure the closest distance between the surface of the source and the surface of the detecto</w:t>
      </w:r>
      <w:r w:rsidR="000C0167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r. This will be quite imprecise, so provide reasonable uncertainties.</w:t>
      </w:r>
    </w:p>
    <w:p w:rsidR="0098401B" w:rsidRPr="00D068FC" w:rsidRDefault="000C0167" w:rsidP="001F476A">
      <w:pPr>
        <w:pStyle w:val="Heading1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Without turning on the roughing pump, close the lid and measure the energy spectrum for 120 s of live time. This limit can be set on Maestro. Record the peak energy of the distribution.</w:t>
      </w:r>
    </w:p>
    <w:p w:rsidR="000C0167" w:rsidRPr="00D068FC" w:rsidRDefault="000C0167" w:rsidP="001F476A">
      <w:pPr>
        <w:pStyle w:val="Heading1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Open the lid and move the source approximately 0.5 cm away from the detector. </w:t>
      </w:r>
    </w:p>
    <w:p w:rsidR="000C0167" w:rsidRPr="00D068FC" w:rsidRDefault="000C0167" w:rsidP="001F476A">
      <w:pPr>
        <w:pStyle w:val="Heading1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Repeat steps 2-4 until the distance is 4.5 cm, while keeping the live time fixed at 120 s.  </w:t>
      </w:r>
    </w:p>
    <w:p w:rsidR="0014140F" w:rsidRPr="00D068FC" w:rsidRDefault="00D068FC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E</w:t>
      </w:r>
      <w:r w:rsidR="0076679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stimated timeline for the lab activities:</w:t>
      </w:r>
    </w:p>
    <w:p w:rsidR="00766791" w:rsidRPr="00D068FC" w:rsidRDefault="001B2092" w:rsidP="001B209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8:30 – 9:15 Introduction, detector setup and energy calibration with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241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Am source</w:t>
      </w:r>
    </w:p>
    <w:p w:rsidR="001B2092" w:rsidRPr="00D068FC" w:rsidRDefault="001B2092" w:rsidP="001B209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9:15 – 10:00 Start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228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 sample measurement; tutorial on surface barrier semiconductor detectors</w:t>
      </w:r>
    </w:p>
    <w:p w:rsidR="001B2092" w:rsidRPr="00D068FC" w:rsidRDefault="001B2092" w:rsidP="001B209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10:15 – 12:00 (after coffee break) </w:t>
      </w:r>
      <w:r w:rsidR="00544E20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alpha decay theory and </w:t>
      </w:r>
      <w:r w:rsidR="00096B7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computational exercise to calculate</w:t>
      </w:r>
      <w:r w:rsidR="00544E20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energy loss </w:t>
      </w:r>
      <w:r w:rsidR="002C5B1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of α’s </w:t>
      </w:r>
      <w:r w:rsidR="00544E20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through matter via Bethe-Bloch equation</w:t>
      </w:r>
    </w:p>
    <w:p w:rsidR="001B2092" w:rsidRPr="00D068FC" w:rsidRDefault="004C0E1A" w:rsidP="001B209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13</w:t>
      </w:r>
      <w:r w:rsidR="003E7E1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:15 –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14</w:t>
      </w:r>
      <w:r w:rsidR="003E7E1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: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15 Check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228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Th sample measurement; build and verify decay chain to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208</w:t>
      </w:r>
      <w:r w:rsidR="00F126D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Pb;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compare experimental α energies to literature values</w:t>
      </w:r>
      <w:r w:rsidR="00F126D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; brief discussion of nuclear shell </w:t>
      </w:r>
      <w:r w:rsidR="00D068F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effects</w:t>
      </w:r>
    </w:p>
    <w:p w:rsidR="004C0E1A" w:rsidRPr="00D068FC" w:rsidRDefault="004C0E1A" w:rsidP="001B209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lastRenderedPageBreak/>
        <w:t xml:space="preserve">14:00 </w:t>
      </w:r>
      <w:r w:rsidR="00F840BD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–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F840BD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14:45 </w:t>
      </w:r>
      <w:r w:rsidR="009B0CD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Measure </w:t>
      </w:r>
      <w:r w:rsidR="00096B7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α particle’s energy from the </w:t>
      </w:r>
      <w:r w:rsidR="009B0CDB"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241</w:t>
      </w:r>
      <w:r w:rsidR="009B0CD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Am</w:t>
      </w:r>
      <w:r w:rsidR="00096B7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source </w:t>
      </w:r>
      <w:r w:rsidR="009B0CD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at different distances to the detector without vacuum</w:t>
      </w:r>
      <w:r w:rsidR="00096B7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to compare with theoretical calculations</w:t>
      </w:r>
    </w:p>
    <w:p w:rsidR="00096B7A" w:rsidRPr="00D068FC" w:rsidRDefault="002C5B18" w:rsidP="001B209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14:45 – 15:15 </w:t>
      </w:r>
      <w:r w:rsidR="00340B61">
        <w:rPr>
          <w:rFonts w:asciiTheme="minorHAnsi" w:hAnsiTheme="minorHAnsi" w:cstheme="minorHAnsi"/>
          <w:b w:val="0"/>
          <w:color w:val="000000"/>
          <w:sz w:val="24"/>
          <w:szCs w:val="24"/>
        </w:rPr>
        <w:t>Summary of the lab activities and</w:t>
      </w:r>
      <w:r w:rsidR="00D068FC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guidance</w:t>
      </w:r>
      <w:r w:rsidR="00340B61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on lab reports</w:t>
      </w:r>
    </w:p>
    <w:p w:rsidR="00766791" w:rsidRPr="00D068FC" w:rsidRDefault="00766791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4963F2" w:rsidRPr="00D068FC" w:rsidRDefault="004963F2" w:rsidP="004963F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color w:val="000000"/>
          <w:sz w:val="24"/>
          <w:szCs w:val="24"/>
        </w:rPr>
        <w:t>Analysis/discussion</w:t>
      </w:r>
    </w:p>
    <w:p w:rsidR="004963F2" w:rsidRPr="00D068FC" w:rsidRDefault="004963F2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5649C3" w:rsidRPr="00D068FC" w:rsidRDefault="00B91D08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Questions </w:t>
      </w:r>
      <w:r w:rsidR="00643D3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to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be </w:t>
      </w:r>
      <w:r w:rsidR="00643D3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address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ed</w:t>
      </w:r>
      <w:r w:rsidR="004963F2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from the measurements</w:t>
      </w:r>
      <w:r w:rsidR="008C363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and the calculations</w:t>
      </w:r>
      <w:r w:rsidR="00643D3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:</w:t>
      </w:r>
    </w:p>
    <w:p w:rsidR="0014140F" w:rsidRPr="00D068FC" w:rsidRDefault="00CE5170" w:rsidP="00643D3A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During detector calibration, why did the energy resolution improve as the bias voltage increased, even though the centroid position has not shifted?</w:t>
      </w:r>
    </w:p>
    <w:p w:rsidR="004963F2" w:rsidRPr="00D068FC" w:rsidRDefault="00E55682" w:rsidP="00643D3A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Compare the experimental energies of the peaks from the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228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Th source measurement with the literature values. </w:t>
      </w:r>
      <w:r w:rsidR="00096F9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How accurate was the 1-point energy calibration using the </w:t>
      </w:r>
      <w:r w:rsidR="00096F9A"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241</w:t>
      </w:r>
      <w:r w:rsidR="00096F9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Am source?</w:t>
      </w:r>
      <w:r w:rsidR="0000734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341C6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Are there</w:t>
      </w:r>
      <w:r w:rsidR="0000734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any systematic </w:t>
      </w:r>
      <w:r w:rsidR="00AB01C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uncertaintie</w:t>
      </w:r>
      <w:r w:rsidR="0000734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s </w:t>
      </w:r>
      <w:r w:rsidR="009A69F2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in the </w:t>
      </w:r>
      <w:r w:rsidR="00AF6D32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method </w:t>
      </w:r>
      <w:r w:rsidR="0000734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that need to be discussed?</w:t>
      </w:r>
    </w:p>
    <w:p w:rsidR="00643D3A" w:rsidRPr="00D068FC" w:rsidRDefault="006971C8" w:rsidP="00643D3A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Plot the</w:t>
      </w:r>
      <w:r w:rsidR="00643D3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relative </w:t>
      </w:r>
      <w:r w:rsidR="00643D3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energy resolution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(FWHM/E</w:t>
      </w:r>
      <w:r w:rsidR="00781B89"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bscript"/>
        </w:rPr>
        <w:t>α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) versus</w:t>
      </w:r>
      <w:r w:rsidR="00643D3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781B8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E</w:t>
      </w:r>
      <w:r w:rsidR="00781B89"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bscript"/>
        </w:rPr>
        <w:t>α</w:t>
      </w:r>
      <w:r w:rsidR="00643D3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of the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different</w:t>
      </w:r>
      <w:r w:rsidR="00643D3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peaks from the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228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Th sample. </w:t>
      </w:r>
      <w:r w:rsidR="008C363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Can you suggest</w:t>
      </w:r>
      <w:r w:rsidR="00B91D0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a good model to describe this relationship?</w:t>
      </w:r>
    </w:p>
    <w:p w:rsidR="008C3638" w:rsidRPr="00D068FC" w:rsidRDefault="004A5970" w:rsidP="004F6715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Plot and compare the energy loss of</w:t>
      </w:r>
      <w:r w:rsidR="0037718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the α particle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from the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241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Am source</w:t>
      </w:r>
      <w:r w:rsidR="0037718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in air </w:t>
      </w:r>
      <w:r w:rsidR="0037718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at various distances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with the Bethe-Bloch equation</w:t>
      </w:r>
      <w:r w:rsidR="0037718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.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Do they agree well? </w:t>
      </w:r>
      <w:r w:rsidR="00DC43A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How many </w:t>
      </w:r>
      <w:r w:rsidR="00DC43A1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</w:rPr>
        <w:t xml:space="preserve">cm of air under standard pressure (1 </w:t>
      </w:r>
      <w:proofErr w:type="spellStart"/>
      <w:r w:rsidR="00DC43A1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</w:rPr>
        <w:t>atm</w:t>
      </w:r>
      <w:proofErr w:type="spellEnd"/>
      <w:r w:rsidR="00DC43A1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</w:rPr>
        <w:t xml:space="preserve">) is needed to </w:t>
      </w:r>
      <w:r w:rsidR="00B934DE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</w:rPr>
        <w:t xml:space="preserve">fully </w:t>
      </w:r>
      <w:r w:rsidR="00B07A4B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</w:rPr>
        <w:t>stop a more energetic</w:t>
      </w:r>
      <w:r w:rsidR="00DC43A1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</w:rPr>
        <w:t xml:space="preserve"> </w:t>
      </w:r>
      <w:r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</w:rPr>
        <w:t>8.785</w:t>
      </w:r>
      <w:r w:rsidR="00DC43A1" w:rsidRPr="00D068FC">
        <w:rPr>
          <w:rFonts w:asciiTheme="minorHAnsi" w:eastAsia="Malgun Gothic" w:hAnsiTheme="minorHAnsi" w:cstheme="minorHAnsi"/>
          <w:b w:val="0"/>
          <w:color w:val="000000"/>
          <w:sz w:val="24"/>
          <w:szCs w:val="24"/>
        </w:rPr>
        <w:t xml:space="preserve">-MeV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α particle from</w:t>
      </w:r>
      <w:r w:rsidR="00DC43A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212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Po</w:t>
      </w:r>
      <w:r w:rsidR="00DC43A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?</w:t>
      </w:r>
      <w:r w:rsidR="0037718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</w:p>
    <w:p w:rsidR="00AE160B" w:rsidRPr="00D068FC" w:rsidRDefault="00AE160B" w:rsidP="004F6715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On pages 195-196, </w:t>
      </w:r>
      <w:proofErr w:type="spellStart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Krane</w:t>
      </w:r>
      <w:proofErr w:type="spellEnd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writes that Bethe-Bloch fails for heavy particles at very low energies due to the </w:t>
      </w:r>
      <w:r w:rsidR="00800DC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atomic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electrons being captured by the </w:t>
      </w:r>
      <w:r w:rsidR="00800DC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slow-moving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particle. Will this </w:t>
      </w:r>
      <w:r w:rsidR="009752D0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phenomenon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increase or decrease </w:t>
      </w:r>
      <w:proofErr w:type="spellStart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dE</w:t>
      </w:r>
      <w:proofErr w:type="spellEnd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/dx? How can we determine the magnitude of </w:t>
      </w:r>
      <w:r w:rsidR="00882004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correction term</w:t>
      </w:r>
      <w:r w:rsidR="00882004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to account for this effect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?</w:t>
      </w:r>
    </w:p>
    <w:p w:rsidR="004A5F3D" w:rsidRPr="00D068FC" w:rsidRDefault="004A5F3D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4A5F3D" w:rsidRPr="00D068FC" w:rsidRDefault="004A5F3D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color w:val="000000"/>
          <w:sz w:val="24"/>
          <w:szCs w:val="24"/>
        </w:rPr>
        <w:t>Reports, revisions and grading</w:t>
      </w:r>
    </w:p>
    <w:p w:rsidR="004F6715" w:rsidRPr="00D068FC" w:rsidRDefault="00714748" w:rsidP="00714748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The report should </w:t>
      </w:r>
      <w:r w:rsidR="004F671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contain the following:</w:t>
      </w:r>
    </w:p>
    <w:p w:rsidR="004F6715" w:rsidRPr="00D068FC" w:rsidRDefault="004F6715" w:rsidP="004F6715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</w:t>
      </w:r>
      <w:r w:rsidR="0071474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short introduction about alpha decays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and the objectives of this lab</w:t>
      </w:r>
    </w:p>
    <w:p w:rsidR="004F6715" w:rsidRPr="00D068FC" w:rsidRDefault="004F6715" w:rsidP="004F6715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</w:t>
      </w:r>
      <w:r w:rsidR="0071474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he experimental method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wit</w:t>
      </w:r>
      <w:r w:rsidR="0071474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h enough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details </w:t>
      </w:r>
      <w:r w:rsidR="0071474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for the reader to be able to follow the pr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ocedures and reproduce the results – not in the same format as this lab manual. Describe the setup with words and pictures.</w:t>
      </w:r>
    </w:p>
    <w:p w:rsidR="004F6715" w:rsidRPr="00D068FC" w:rsidRDefault="00714748" w:rsidP="004F6715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List all the measurements with proper uncertainties in tables, graphs and histograms. Label the axes and units. Discuss the results by answer</w:t>
      </w:r>
      <w:r w:rsidR="008D71D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ing the questions listed above. All energy spectra should be calibrated, except the one with the </w:t>
      </w:r>
      <w:r w:rsidR="008D71D1" w:rsidRPr="00D068FC">
        <w:rPr>
          <w:rFonts w:asciiTheme="minorHAnsi" w:hAnsiTheme="minorHAnsi" w:cstheme="minorHAnsi"/>
          <w:b w:val="0"/>
          <w:color w:val="000000"/>
          <w:sz w:val="24"/>
          <w:szCs w:val="24"/>
          <w:vertAlign w:val="superscript"/>
        </w:rPr>
        <w:t>241</w:t>
      </w:r>
      <w:r w:rsidR="008D71D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Am calibration source peak.</w:t>
      </w:r>
      <w:r w:rsidR="00BF1C96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For all figures (diagrams, tables, graphs, histograms, </w:t>
      </w:r>
      <w:proofErr w:type="spellStart"/>
      <w:r w:rsidR="00BF1C96">
        <w:rPr>
          <w:rFonts w:asciiTheme="minorHAnsi" w:hAnsiTheme="minorHAnsi" w:cstheme="minorHAnsi"/>
          <w:b w:val="0"/>
          <w:color w:val="000000"/>
          <w:sz w:val="24"/>
          <w:szCs w:val="24"/>
        </w:rPr>
        <w:t>etc</w:t>
      </w:r>
      <w:proofErr w:type="spellEnd"/>
      <w:r w:rsidR="00BF1C96">
        <w:rPr>
          <w:rFonts w:asciiTheme="minorHAnsi" w:hAnsiTheme="minorHAnsi" w:cstheme="minorHAnsi"/>
          <w:b w:val="0"/>
          <w:color w:val="000000"/>
          <w:sz w:val="24"/>
          <w:szCs w:val="24"/>
        </w:rPr>
        <w:t>), you must make references to them at least once in the text.</w:t>
      </w:r>
    </w:p>
    <w:p w:rsidR="004F6715" w:rsidRPr="00D068FC" w:rsidRDefault="005B344C" w:rsidP="0005277A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Describe the Bethe-Bloch formula used for energy loss/range calculations. List the special inputs (any non-constants) and any simplifying assumptions. Discuss </w:t>
      </w:r>
      <w:r w:rsidR="00E4428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possible </w:t>
      </w:r>
      <w:r w:rsidR="00E4428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lastRenderedPageBreak/>
        <w:t>limitations of your model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.</w:t>
      </w:r>
      <w:r w:rsidR="0005277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4F671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In the appendix, provide the code you used to calculate the </w:t>
      </w:r>
      <w:r w:rsidR="007F0D61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energy loss and range of α particles via the Bethe-Bloch equation.</w:t>
      </w:r>
    </w:p>
    <w:p w:rsidR="00714748" w:rsidRPr="00D068FC" w:rsidRDefault="004F6715" w:rsidP="004A5F3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Write in full sentences, unless you are providing a list of items.  </w:t>
      </w:r>
    </w:p>
    <w:p w:rsidR="00D85C0E" w:rsidRPr="00D068FC" w:rsidRDefault="0005277A" w:rsidP="004A5F3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One</w:t>
      </w:r>
      <w:r w:rsidR="00D85C0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report per 2 students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is encouraged. </w:t>
      </w:r>
      <w:r w:rsidR="008A13BE">
        <w:rPr>
          <w:rFonts w:asciiTheme="minorHAnsi" w:hAnsiTheme="minorHAnsi" w:cstheme="minorHAnsi"/>
          <w:b w:val="0"/>
          <w:color w:val="000000"/>
          <w:sz w:val="24"/>
          <w:szCs w:val="24"/>
        </w:rPr>
        <w:t>For lab sessions with an odd number of students, a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D85C0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3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-person group report is</w:t>
      </w:r>
      <w:r w:rsidR="00D85C0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acceptable</w:t>
      </w:r>
      <w:r w:rsidR="00D85C0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and preferred over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a report</w:t>
      </w:r>
      <w:r w:rsidR="00D85C0E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written alone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.</w:t>
      </w:r>
    </w:p>
    <w:p w:rsidR="001E62F1" w:rsidRPr="00D068FC" w:rsidRDefault="001E62F1" w:rsidP="004A5F3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Suggested l</w:t>
      </w:r>
      <w:r w:rsidR="0037718F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ength: around 10 pages</w:t>
      </w:r>
      <w:r w:rsidR="00E60B55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without counting the appendix for your code</w:t>
      </w:r>
      <w:r w:rsidR="008A13BE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. Avoid small figures and small font sizes for the figure text. </w:t>
      </w:r>
    </w:p>
    <w:p w:rsidR="00D910B4" w:rsidRPr="00D068FC" w:rsidRDefault="00D910B4" w:rsidP="004A5F3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Report file format: .pdf (use whatever typesetting software you prefer)</w:t>
      </w:r>
    </w:p>
    <w:p w:rsidR="00FF2798" w:rsidRPr="00D068FC" w:rsidRDefault="004A5F3D" w:rsidP="004A5F3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First lab </w:t>
      </w:r>
      <w:proofErr w:type="gramStart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report</w:t>
      </w:r>
      <w:proofErr w:type="gramEnd"/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due date: within 10 working days after the lab</w:t>
      </w:r>
    </w:p>
    <w:p w:rsidR="0005277A" w:rsidRPr="00D068FC" w:rsidRDefault="00D85C0E" w:rsidP="004A5F3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Submit </w:t>
      </w:r>
      <w:r w:rsidR="00FF279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your report on </w:t>
      </w:r>
      <w:r w:rsidR="004A5F3D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URKUND for plagiarism checks</w:t>
      </w:r>
      <w:r w:rsidR="00FF279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:</w:t>
      </w:r>
      <w:r w:rsidR="004A5F3D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hyperlink r:id="rId8" w:history="1">
        <w:r w:rsidR="004A5F3D" w:rsidRPr="00D068FC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joochun.park.lu@analys.urkund.se</w:t>
        </w:r>
      </w:hyperlink>
      <w:r w:rsidR="0005277A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. </w:t>
      </w:r>
      <w:r w:rsidR="0018687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Only one copy</w:t>
      </w:r>
      <w:r w:rsidR="008A13BE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per group please</w:t>
      </w:r>
      <w:r w:rsidR="0018687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.</w:t>
      </w:r>
    </w:p>
    <w:p w:rsidR="00FF2798" w:rsidRPr="00D068FC" w:rsidRDefault="004A5F3D" w:rsidP="004A5F3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Grading: the first version of the lab reports will be graded and returned with comments</w:t>
      </w:r>
      <w:r w:rsidR="00FF279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within 15 working days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.</w:t>
      </w:r>
      <w:r w:rsidR="002D0BBD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FF279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Then you have sever</w:t>
      </w:r>
      <w:bookmarkStart w:id="0" w:name="_GoBack"/>
      <w:bookmarkEnd w:id="0"/>
      <w:r w:rsidR="00FF279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al scenarios:</w:t>
      </w:r>
    </w:p>
    <w:p w:rsidR="004A5F3D" w:rsidRPr="00D068FC" w:rsidRDefault="00FF2798" w:rsidP="00FF279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You may choose to settle with the initial grade. Notify the instructor that you will not submit a revision, unless the instructor explicitly requests minor revisions.</w:t>
      </w:r>
    </w:p>
    <w:p w:rsidR="00FF2798" w:rsidRPr="00D068FC" w:rsidRDefault="00FF2798" w:rsidP="00FF279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You may improve the lab grade by </w:t>
      </w:r>
      <w:r w:rsidR="006F623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addressing the instructor’s comments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6F623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to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report.</w:t>
      </w:r>
      <w:r w:rsidR="00C8582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Do NOT submit the revised version</w:t>
      </w:r>
      <w:r w:rsidR="000C5BD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s</w:t>
      </w:r>
      <w:r w:rsidR="00C8582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on URKUND, because there will be many overlaps</w:t>
      </w:r>
      <w:r w:rsidR="000C5BD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with the first version</w:t>
      </w:r>
      <w:r w:rsidR="00C8582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.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="00C8582B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There is no hard deadline for the second version. The final grade will </w:t>
      </w:r>
      <w:r w:rsidR="006F623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be the average of the 2 reports, and it cannot be lower than the first grade.</w:t>
      </w:r>
    </w:p>
    <w:p w:rsidR="00C8582B" w:rsidRPr="00D068FC" w:rsidRDefault="00C8582B" w:rsidP="00FF279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If your first grade was below 50%, then a sufficiently revised report must be submitted in order to pass the KF3 lab. You will receive either the average grade of the</w:t>
      </w:r>
      <w:r w:rsidR="000C5BD5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previous</w:t>
      </w:r>
      <w:r w:rsidR="006F623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versions or 50%, whichever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is greater.</w:t>
      </w:r>
      <w:r w:rsidR="006F6239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</w:p>
    <w:p w:rsidR="000C45AE" w:rsidRPr="00D068FC" w:rsidRDefault="006F6239" w:rsidP="000C45AE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A late submission</w:t>
      </w:r>
      <w:r w:rsidR="00FF279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of the first report </w:t>
      </w:r>
      <w:r w:rsidR="00FF2798" w:rsidRPr="00D068FC">
        <w:rPr>
          <w:rFonts w:asciiTheme="minorHAnsi" w:hAnsiTheme="minorHAnsi" w:cstheme="minorHAnsi"/>
          <w:b w:val="0"/>
          <w:color w:val="000000"/>
          <w:sz w:val="24"/>
          <w:szCs w:val="24"/>
        </w:rPr>
        <w:t>will r</w:t>
      </w:r>
      <w:r w:rsidR="00461973">
        <w:rPr>
          <w:rFonts w:asciiTheme="minorHAnsi" w:hAnsiTheme="minorHAnsi" w:cstheme="minorHAnsi"/>
          <w:b w:val="0"/>
          <w:color w:val="000000"/>
          <w:sz w:val="24"/>
          <w:szCs w:val="24"/>
        </w:rPr>
        <w:t>esult in a maximum</w:t>
      </w:r>
      <w:r w:rsidR="008A13BE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grade of 50%, regardless of a possible need to re-submit with revisions in the future.</w:t>
      </w:r>
    </w:p>
    <w:sectPr w:rsidR="000C45AE" w:rsidRPr="00D068FC" w:rsidSect="005824F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4840"/>
    <w:multiLevelType w:val="hybridMultilevel"/>
    <w:tmpl w:val="E23CC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01E"/>
    <w:multiLevelType w:val="hybridMultilevel"/>
    <w:tmpl w:val="43349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F04F9"/>
    <w:multiLevelType w:val="hybridMultilevel"/>
    <w:tmpl w:val="C900B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F6C74"/>
    <w:multiLevelType w:val="hybridMultilevel"/>
    <w:tmpl w:val="DF3230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30831"/>
    <w:multiLevelType w:val="hybridMultilevel"/>
    <w:tmpl w:val="D1D22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7750"/>
    <w:multiLevelType w:val="hybridMultilevel"/>
    <w:tmpl w:val="2C309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D0867"/>
    <w:multiLevelType w:val="hybridMultilevel"/>
    <w:tmpl w:val="F8708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A1075"/>
    <w:multiLevelType w:val="hybridMultilevel"/>
    <w:tmpl w:val="26BEC39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29A6D23"/>
    <w:multiLevelType w:val="hybridMultilevel"/>
    <w:tmpl w:val="2E0021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25F4C"/>
    <w:multiLevelType w:val="hybridMultilevel"/>
    <w:tmpl w:val="7D908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E11FA"/>
    <w:multiLevelType w:val="hybridMultilevel"/>
    <w:tmpl w:val="C50E4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25C9A"/>
    <w:multiLevelType w:val="hybridMultilevel"/>
    <w:tmpl w:val="9B3861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AE"/>
    <w:rsid w:val="00007345"/>
    <w:rsid w:val="0005277A"/>
    <w:rsid w:val="000551C7"/>
    <w:rsid w:val="000778C5"/>
    <w:rsid w:val="00082678"/>
    <w:rsid w:val="00082C1C"/>
    <w:rsid w:val="00096B7A"/>
    <w:rsid w:val="00096F9A"/>
    <w:rsid w:val="000A0117"/>
    <w:rsid w:val="000A6492"/>
    <w:rsid w:val="000A7056"/>
    <w:rsid w:val="000C0167"/>
    <w:rsid w:val="000C45AE"/>
    <w:rsid w:val="000C5BD5"/>
    <w:rsid w:val="000F5817"/>
    <w:rsid w:val="00112AE0"/>
    <w:rsid w:val="00126392"/>
    <w:rsid w:val="0014140F"/>
    <w:rsid w:val="0018687B"/>
    <w:rsid w:val="001B2092"/>
    <w:rsid w:val="001D113B"/>
    <w:rsid w:val="001E62F1"/>
    <w:rsid w:val="001F476A"/>
    <w:rsid w:val="00235C31"/>
    <w:rsid w:val="002B6853"/>
    <w:rsid w:val="002B72CB"/>
    <w:rsid w:val="002C5B18"/>
    <w:rsid w:val="002D0BBD"/>
    <w:rsid w:val="00340B61"/>
    <w:rsid w:val="00341C6E"/>
    <w:rsid w:val="00362A69"/>
    <w:rsid w:val="003764DD"/>
    <w:rsid w:val="00376D80"/>
    <w:rsid w:val="0037718F"/>
    <w:rsid w:val="00380C89"/>
    <w:rsid w:val="003E1BDD"/>
    <w:rsid w:val="003E7E1F"/>
    <w:rsid w:val="003F0A61"/>
    <w:rsid w:val="0040125E"/>
    <w:rsid w:val="00417BDE"/>
    <w:rsid w:val="00437989"/>
    <w:rsid w:val="00461973"/>
    <w:rsid w:val="00482ABB"/>
    <w:rsid w:val="004908FD"/>
    <w:rsid w:val="004963F2"/>
    <w:rsid w:val="004A5970"/>
    <w:rsid w:val="004A5F3D"/>
    <w:rsid w:val="004B393E"/>
    <w:rsid w:val="004C0E1A"/>
    <w:rsid w:val="004F6715"/>
    <w:rsid w:val="004F68FE"/>
    <w:rsid w:val="0051209F"/>
    <w:rsid w:val="00544E20"/>
    <w:rsid w:val="00554C5F"/>
    <w:rsid w:val="005631F3"/>
    <w:rsid w:val="00564940"/>
    <w:rsid w:val="005649C3"/>
    <w:rsid w:val="005824F8"/>
    <w:rsid w:val="0059690E"/>
    <w:rsid w:val="005B162C"/>
    <w:rsid w:val="005B344C"/>
    <w:rsid w:val="00615A9B"/>
    <w:rsid w:val="00643D3A"/>
    <w:rsid w:val="00650CF5"/>
    <w:rsid w:val="00664DB9"/>
    <w:rsid w:val="006971C8"/>
    <w:rsid w:val="006A262E"/>
    <w:rsid w:val="006F202C"/>
    <w:rsid w:val="006F6239"/>
    <w:rsid w:val="007009F4"/>
    <w:rsid w:val="00704B1D"/>
    <w:rsid w:val="00714748"/>
    <w:rsid w:val="0071679A"/>
    <w:rsid w:val="00766791"/>
    <w:rsid w:val="00781B89"/>
    <w:rsid w:val="00793247"/>
    <w:rsid w:val="007F0D61"/>
    <w:rsid w:val="00800DCB"/>
    <w:rsid w:val="008169BA"/>
    <w:rsid w:val="00823A94"/>
    <w:rsid w:val="00876B93"/>
    <w:rsid w:val="00882004"/>
    <w:rsid w:val="00886B7F"/>
    <w:rsid w:val="008905BC"/>
    <w:rsid w:val="008A13BE"/>
    <w:rsid w:val="008B18A6"/>
    <w:rsid w:val="008C3638"/>
    <w:rsid w:val="008C6B64"/>
    <w:rsid w:val="008D71D1"/>
    <w:rsid w:val="00946858"/>
    <w:rsid w:val="00952317"/>
    <w:rsid w:val="0096232B"/>
    <w:rsid w:val="009752D0"/>
    <w:rsid w:val="0098401B"/>
    <w:rsid w:val="00996304"/>
    <w:rsid w:val="009A69F2"/>
    <w:rsid w:val="009B0CDB"/>
    <w:rsid w:val="009B4C9E"/>
    <w:rsid w:val="00A75702"/>
    <w:rsid w:val="00AB01C9"/>
    <w:rsid w:val="00AE160B"/>
    <w:rsid w:val="00AF39EC"/>
    <w:rsid w:val="00AF6D32"/>
    <w:rsid w:val="00B07A4B"/>
    <w:rsid w:val="00B11C88"/>
    <w:rsid w:val="00B35F6F"/>
    <w:rsid w:val="00B91D08"/>
    <w:rsid w:val="00B934DE"/>
    <w:rsid w:val="00BE0A18"/>
    <w:rsid w:val="00BF1C96"/>
    <w:rsid w:val="00C25FE3"/>
    <w:rsid w:val="00C3520B"/>
    <w:rsid w:val="00C42741"/>
    <w:rsid w:val="00C67BE9"/>
    <w:rsid w:val="00C8582B"/>
    <w:rsid w:val="00C949FC"/>
    <w:rsid w:val="00CB0DA5"/>
    <w:rsid w:val="00CE5170"/>
    <w:rsid w:val="00D068FC"/>
    <w:rsid w:val="00D47083"/>
    <w:rsid w:val="00D85C0E"/>
    <w:rsid w:val="00D910B4"/>
    <w:rsid w:val="00DC43A1"/>
    <w:rsid w:val="00E022D5"/>
    <w:rsid w:val="00E077C9"/>
    <w:rsid w:val="00E30742"/>
    <w:rsid w:val="00E44288"/>
    <w:rsid w:val="00E55682"/>
    <w:rsid w:val="00E60B55"/>
    <w:rsid w:val="00E72DB8"/>
    <w:rsid w:val="00ED7E7D"/>
    <w:rsid w:val="00EE6E52"/>
    <w:rsid w:val="00F1031E"/>
    <w:rsid w:val="00F126D1"/>
    <w:rsid w:val="00F60987"/>
    <w:rsid w:val="00F840BD"/>
    <w:rsid w:val="00FC52A4"/>
    <w:rsid w:val="00FD0037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0CD2"/>
  <w15:chartTrackingRefBased/>
  <w15:docId w15:val="{E460C71E-856C-4446-8FDA-A4FAFDCF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AE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styleId="Hyperlink">
    <w:name w:val="Hyperlink"/>
    <w:basedOn w:val="DefaultParagraphFont"/>
    <w:uiPriority w:val="99"/>
    <w:unhideWhenUsed/>
    <w:rsid w:val="003764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5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ochun.park.lu@analys.urkund.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ndc.bnl.gov" TargetMode="External"/><Relationship Id="rId5" Type="http://schemas.openxmlformats.org/officeDocument/2006/relationships/hyperlink" Target="mailto:joochun.park@nuclear.lu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Park</dc:creator>
  <cp:keywords/>
  <dc:description/>
  <cp:lastModifiedBy>Jason Park</cp:lastModifiedBy>
  <cp:revision>114</cp:revision>
  <dcterms:created xsi:type="dcterms:W3CDTF">2018-09-18T17:46:00Z</dcterms:created>
  <dcterms:modified xsi:type="dcterms:W3CDTF">2018-10-08T13:40:00Z</dcterms:modified>
</cp:coreProperties>
</file>