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Vaccine</w:t>
      </w:r>
      <w:r>
        <w:t xml:space="preserve"> </w:t>
      </w:r>
      <w:r>
        <w:t xml:space="preserve">Equity</w:t>
      </w:r>
      <w:r>
        <w:t xml:space="preserve"> </w:t>
      </w:r>
      <w:r>
        <w:t xml:space="preserve">Globally</w:t>
      </w:r>
      <w:r>
        <w:t xml:space="preserve"> </w:t>
      </w:r>
      <w:r>
        <w:t xml:space="preserve">LIC</w:t>
      </w:r>
      <w:r>
        <w:t xml:space="preserve"> </w:t>
      </w:r>
      <w:r>
        <w:t xml:space="preserve">and</w:t>
      </w:r>
      <w:r>
        <w:t xml:space="preserve"> </w:t>
      </w:r>
      <w:r>
        <w:t xml:space="preserve">LMIC,</w:t>
      </w:r>
      <w:r>
        <w:t xml:space="preserve"> </w:t>
      </w:r>
      <w:r>
        <w:t xml:space="preserve">two</w:t>
      </w:r>
      <w:r>
        <w:t xml:space="preserve"> </w:t>
      </w:r>
      <w:r>
        <w:t xml:space="preserve">dose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Savinkina</w:t>
      </w:r>
    </w:p>
    <w:p>
      <w:pPr>
        <w:pStyle w:val="Date"/>
      </w:pPr>
      <w:r>
        <w:t xml:space="preserve">1/15/2022</w:t>
      </w:r>
    </w:p>
    <w:bookmarkStart w:id="21" w:name="X2d1260569b79bd112704808bf1bfc3230f0f76c"/>
    <w:p>
      <w:pPr>
        <w:pStyle w:val="Heading1"/>
      </w:pPr>
      <w:r>
        <w:t xml:space="preserve">Preliminary data, from probabilistic sensitivity analysis</w:t>
      </w:r>
    </w:p>
    <w:bookmarkStart w:id="20" w:name="X7cf2722bb84ea8c867b8b5d247a14a65c92a9d8"/>
    <w:p>
      <w:pPr>
        <w:pStyle w:val="Heading3"/>
      </w:pPr>
      <w:r>
        <w:t xml:space="preserve">Assuming</w:t>
      </w:r>
      <w:r>
        <w:t xml:space="preserve"> </w:t>
      </w:r>
      <w:r>
        <w:t xml:space="preserve">“</w:t>
      </w:r>
      <w:r>
        <w:t xml:space="preserve">pre-omicron</w:t>
      </w:r>
      <w:r>
        <w:t xml:space="preserve">”</w:t>
      </w:r>
      <w:r>
        <w:t xml:space="preserve"> </w:t>
      </w:r>
      <w:r>
        <w:t xml:space="preserve">IFR= 5/1000, omicron IFR= 1/1000, vaccine efficacy against mortality = 80%, natural immunity efficacy against mortality of 80%, and cost per dose= $7,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p>
            <w:pPr>
              <w:pStyle w:val="Compact"/>
              <w:jc w:val="right"/>
            </w:pPr>
            <w:r>
              <w:t xml:space="preserve">Cost_per_death</w:t>
            </w:r>
          </w:p>
        </w:tc>
        <w:tc>
          <w:p>
            <w:pPr>
              <w:pStyle w:val="Compact"/>
              <w:jc w:val="right"/>
            </w:pPr>
            <w:r>
              <w:t xml:space="preserve">Cost_total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Reported deaths</w:t>
            </w:r>
          </w:p>
        </w:tc>
        <w:tc>
          <w:p>
            <w:pPr>
              <w:pStyle w:val="Compact"/>
              <w:jc w:val="right"/>
            </w:pPr>
            <w:r>
              <w:t xml:space="preserve">16671.05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2130902.2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right"/>
            </w:pPr>
            <w:r>
              <w:t xml:space="preserve">26904.64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1320380.5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lower 95%</w:t>
            </w:r>
          </w:p>
        </w:tc>
        <w:tc>
          <w:p>
            <w:pPr>
              <w:pStyle w:val="Compact"/>
              <w:jc w:val="right"/>
            </w:pPr>
            <w:r>
              <w:t xml:space="preserve">18038.70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1969342.4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upper 95%</w:t>
            </w:r>
          </w:p>
        </w:tc>
        <w:tc>
          <w:p>
            <w:pPr>
              <w:pStyle w:val="Compact"/>
              <w:jc w:val="right"/>
            </w:pPr>
            <w:r>
              <w:t xml:space="preserve">40053.33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886926.6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Vaccination only</w:t>
            </w:r>
          </w:p>
        </w:tc>
        <w:tc>
          <w:p>
            <w:pPr>
              <w:pStyle w:val="Compact"/>
              <w:jc w:val="right"/>
            </w:pPr>
            <w:r>
              <w:t xml:space="preserve">15983.94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2222503.2</w:t>
            </w:r>
          </w:p>
        </w:tc>
      </w:tr>
    </w:tbl>
    <w:bookmarkEnd w:id="20"/>
    <w:bookmarkEnd w:id="21"/>
    <w:bookmarkStart w:id="26" w:name="vaccine-hesitancy"/>
    <w:p>
      <w:pPr>
        <w:pStyle w:val="Heading1"/>
      </w:pPr>
      <w:r>
        <w:t xml:space="preserve">Vaccine hesitancy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p>
            <w:pPr>
              <w:pStyle w:val="Compact"/>
              <w:jc w:val="right"/>
            </w:pPr>
            <w:r>
              <w:t xml:space="preserve">Cost_per_death</w:t>
            </w:r>
          </w:p>
        </w:tc>
        <w:tc>
          <w:p>
            <w:pPr>
              <w:pStyle w:val="Compact"/>
              <w:jc w:val="right"/>
            </w:pPr>
            <w:r>
              <w:t xml:space="preserve">Cost_total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Reported deaths</w:t>
            </w:r>
          </w:p>
        </w:tc>
        <w:tc>
          <w:p>
            <w:pPr>
              <w:pStyle w:val="Compact"/>
              <w:jc w:val="right"/>
            </w:pPr>
            <w:r>
              <w:t xml:space="preserve">22228.06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1598176.7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right"/>
            </w:pPr>
            <w:r>
              <w:t xml:space="preserve">35872.86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990285.4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lower 95%</w:t>
            </w:r>
          </w:p>
        </w:tc>
        <w:tc>
          <w:p>
            <w:pPr>
              <w:pStyle w:val="Compact"/>
              <w:jc w:val="right"/>
            </w:pPr>
            <w:r>
              <w:t xml:space="preserve">24051.59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1477006.8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upper 95%</w:t>
            </w:r>
          </w:p>
        </w:tc>
        <w:tc>
          <w:p>
            <w:pPr>
              <w:pStyle w:val="Compact"/>
              <w:jc w:val="right"/>
            </w:pPr>
            <w:r>
              <w:t xml:space="preserve">53404.45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665194.9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Vaccination only</w:t>
            </w:r>
          </w:p>
        </w:tc>
        <w:tc>
          <w:p>
            <w:pPr>
              <w:pStyle w:val="Compact"/>
              <w:jc w:val="right"/>
            </w:pPr>
            <w:r>
              <w:t xml:space="preserve">21311.93</w:t>
            </w:r>
          </w:p>
        </w:tc>
        <w:tc>
          <w:p>
            <w:pPr>
              <w:pStyle w:val="Compact"/>
              <w:jc w:val="right"/>
            </w:pPr>
            <w:r>
              <w:t xml:space="preserve">35524367431</w:t>
            </w:r>
          </w:p>
        </w:tc>
        <w:tc>
          <w:p>
            <w:pPr>
              <w:pStyle w:val="Compact"/>
              <w:jc w:val="right"/>
            </w:pPr>
            <w:r>
              <w:t xml:space="preserve">1666877.4</w:t>
            </w:r>
          </w:p>
        </w:tc>
      </w:tr>
    </w:tbl>
    <w:bookmarkStart w:id="25" w:name="sensitivity-analysis"/>
    <w:p>
      <w:pPr>
        <w:pStyle w:val="Heading2"/>
      </w:pPr>
      <w:r>
        <w:t xml:space="preserve">Sensitivity Analysis</w:t>
      </w:r>
    </w:p>
    <w:p>
      <w:pPr>
        <w:pStyle w:val="FirstParagraph"/>
      </w:pPr>
      <w:r>
        <w:t xml:space="preserve">Sensitivity analysis looking at cost-per-death averted of COVID-19 vaccination for three doses of vaccine, using a range of IFR, vaccine efficacy against mortality, and cost-per-dose of vaccine delivered. IFR range includes the estimate for pre-Omicron IFR (5/1,000), and estimates for Omicron including 1/10th IFR (5/10,000), and 1/5th IFR (1/1,000). Vaccine efficacy against mortality is estimated at 80% for the low range and 95% for the high range. Cost-per-dose of vaccine is ranged fro $5 to $10. In addition, the estimates use excess mortality data to estimate previous infection and an 80% natural immunity effect on mortality.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LICLMIC_1.20.2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LICLMIC_1.20.2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LICLMIC_1.20.2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Sensitivity analysis results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53809.287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26904.643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5380.929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45313.083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22656.542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4531.308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71745.715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35872.858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7174.572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deaths_averted_hundredthous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660190.3</w:t>
            </w:r>
          </w:p>
        </w:tc>
        <w:tc>
          <w:p>
            <w:pPr>
              <w:pStyle w:val="Compact"/>
              <w:jc w:val="right"/>
            </w:pPr>
            <w:r>
              <w:t xml:space="preserve">6.601903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1320380.5</w:t>
            </w:r>
          </w:p>
        </w:tc>
        <w:tc>
          <w:p>
            <w:pPr>
              <w:pStyle w:val="Compact"/>
              <w:jc w:val="right"/>
            </w:pPr>
            <w:r>
              <w:t xml:space="preserve">13.203805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right"/>
            </w:pPr>
            <w:r>
              <w:t xml:space="preserve">6601902.7</w:t>
            </w:r>
          </w:p>
        </w:tc>
        <w:tc>
          <w:p>
            <w:pPr>
              <w:pStyle w:val="Compact"/>
              <w:jc w:val="right"/>
            </w:pPr>
            <w:r>
              <w:t xml:space="preserve">66.019027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783975.9</w:t>
            </w:r>
          </w:p>
        </w:tc>
        <w:tc>
          <w:p>
            <w:pPr>
              <w:pStyle w:val="Compact"/>
              <w:jc w:val="right"/>
            </w:pPr>
            <w:r>
              <w:t xml:space="preserve">7.839760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1567951.9</w:t>
            </w:r>
          </w:p>
        </w:tc>
        <w:tc>
          <w:p>
            <w:pPr>
              <w:pStyle w:val="Compact"/>
              <w:jc w:val="right"/>
            </w:pPr>
            <w:r>
              <w:t xml:space="preserve">15.679519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7839759.5</w:t>
            </w:r>
          </w:p>
        </w:tc>
        <w:tc>
          <w:p>
            <w:pPr>
              <w:pStyle w:val="Compact"/>
              <w:jc w:val="right"/>
            </w:pPr>
            <w:r>
              <w:t xml:space="preserve">78.397594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p>
            <w:pPr>
              <w:pStyle w:val="Compact"/>
              <w:jc w:val="right"/>
            </w:pPr>
            <w:r>
              <w:t xml:space="preserve">495142.7</w:t>
            </w:r>
          </w:p>
        </w:tc>
        <w:tc>
          <w:p>
            <w:pPr>
              <w:pStyle w:val="Compact"/>
              <w:jc w:val="right"/>
            </w:pPr>
            <w:r>
              <w:t xml:space="preserve">4.951427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p>
            <w:pPr>
              <w:pStyle w:val="Compact"/>
              <w:jc w:val="right"/>
            </w:pPr>
            <w:r>
              <w:t xml:space="preserve">990285.4</w:t>
            </w:r>
          </w:p>
        </w:tc>
        <w:tc>
          <w:p>
            <w:pPr>
              <w:pStyle w:val="Compact"/>
              <w:jc w:val="right"/>
            </w:pPr>
            <w:r>
              <w:t xml:space="preserve">9.902854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p>
            <w:pPr>
              <w:pStyle w:val="Compact"/>
              <w:jc w:val="right"/>
            </w:pPr>
            <w:r>
              <w:t xml:space="preserve">4951427.0</w:t>
            </w:r>
          </w:p>
        </w:tc>
        <w:tc>
          <w:p>
            <w:pPr>
              <w:pStyle w:val="Compact"/>
              <w:jc w:val="right"/>
            </w:pPr>
            <w:r>
              <w:t xml:space="preserve">49.514270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Equity Globally LIC and LMIC, two dose</dc:title>
  <dc:creator>Alexandra Savinkina</dc:creator>
  <cp:keywords/>
  <dcterms:created xsi:type="dcterms:W3CDTF">2022-07-18T21:59:43Z</dcterms:created>
  <dcterms:modified xsi:type="dcterms:W3CDTF">2022-07-18T21:59:43Z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1/15/2022</vt:lpwstr>
  </property>
  <property fmtid="{D5CDD505-2E9C-101B-9397-08002B2CF9AE}" pid="3" name="output">
    <vt:lpwstr/>
  </property>
</Properties>
</file>