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Vaccine</w:t>
      </w:r>
      <w:r>
        <w:t xml:space="preserve"> </w:t>
      </w:r>
      <w:r>
        <w:t xml:space="preserve">Equity</w:t>
      </w:r>
      <w:r>
        <w:t xml:space="preserve"> </w:t>
      </w:r>
      <w:r>
        <w:t xml:space="preserve">Globally,</w:t>
      </w:r>
      <w:r>
        <w:t xml:space="preserve"> </w:t>
      </w:r>
      <w:r>
        <w:t xml:space="preserve">LIC/LMIC</w:t>
      </w:r>
      <w:r>
        <w:t xml:space="preserve"> </w:t>
      </w:r>
      <w:r>
        <w:t xml:space="preserve">only</w:t>
      </w:r>
    </w:p>
    <w:p>
      <w:pPr>
        <w:pStyle w:val="Author"/>
      </w:pPr>
      <w:r>
        <w:t xml:space="preserve">Alexandra</w:t>
      </w:r>
      <w:r>
        <w:t xml:space="preserve"> </w:t>
      </w:r>
      <w:r>
        <w:t xml:space="preserve">Savinkina</w:t>
      </w:r>
    </w:p>
    <w:p>
      <w:pPr>
        <w:pStyle w:val="Date"/>
      </w:pPr>
      <w:r>
        <w:t xml:space="preserve">1/15/2022</w:t>
      </w:r>
    </w:p>
    <w:bookmarkStart w:id="25" w:name="X2d1260569b79bd112704808bf1bfc3230f0f76c"/>
    <w:p>
      <w:pPr>
        <w:pStyle w:val="Heading1"/>
      </w:pPr>
      <w:r>
        <w:t xml:space="preserve">Preliminary data, from probabilistic sensitivity analysis</w:t>
      </w:r>
    </w:p>
    <w:bookmarkStart w:id="20" w:name="X0c25ed5f994a7a79905e15dd897eab40e5f8bd4"/>
    <w:p>
      <w:pPr>
        <w:pStyle w:val="Heading3"/>
      </w:pPr>
      <w:r>
        <w:t xml:space="preserve">Assuming</w:t>
      </w:r>
      <w:r>
        <w:t xml:space="preserve"> </w:t>
      </w:r>
      <w:r>
        <w:t xml:space="preserve">“</w:t>
      </w:r>
      <w:r>
        <w:t xml:space="preserve">pre-omicron</w:t>
      </w:r>
      <w:r>
        <w:t xml:space="preserve">”</w:t>
      </w:r>
      <w:r>
        <w:t xml:space="preserve"> </w:t>
      </w:r>
      <w:r>
        <w:t xml:space="preserve">IFR= 5/1000, omicron IFR= 1/1000, vaccine efficacy against mortality = 90%, natural immunity efficacy against mortality of 80%, and cost per dose= $7,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Calculation</w:t>
            </w:r>
          </w:p>
        </w:tc>
        <w:tc>
          <w:p>
            <w:pPr>
              <w:pStyle w:val="Compact"/>
              <w:jc w:val="right"/>
            </w:pPr>
            <w:r>
              <w:t xml:space="preserve">Cost_per_death</w:t>
            </w:r>
          </w:p>
        </w:tc>
        <w:tc>
          <w:p>
            <w:pPr>
              <w:pStyle w:val="Compact"/>
              <w:jc w:val="right"/>
            </w:pPr>
            <w:r>
              <w:t xml:space="preserve">Cost_total</w:t>
            </w:r>
          </w:p>
        </w:tc>
        <w:tc>
          <w:p>
            <w:pPr>
              <w:pStyle w:val="Compact"/>
              <w:jc w:val="right"/>
            </w:pPr>
            <w:r>
              <w:t xml:space="preserve">Deaths_averted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Reported deaths</w:t>
            </w:r>
          </w:p>
        </w:tc>
        <w:tc>
          <w:p>
            <w:pPr>
              <w:pStyle w:val="Compact"/>
              <w:jc w:val="right"/>
            </w:pPr>
            <w:r>
              <w:t xml:space="preserve">44576.89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1373141.7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right"/>
            </w:pPr>
            <w:r>
              <w:t xml:space="preserve">-19182.52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-3190945.4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 lower 95%</w:t>
            </w:r>
          </w:p>
        </w:tc>
        <w:tc>
          <w:p>
            <w:pPr>
              <w:pStyle w:val="Compact"/>
              <w:jc w:val="right"/>
            </w:pPr>
            <w:r>
              <w:t xml:space="preserve">-188993.05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-323876.4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Excess deaths upper 95%</w:t>
            </w:r>
          </w:p>
        </w:tc>
        <w:tc>
          <w:p>
            <w:pPr>
              <w:pStyle w:val="Compact"/>
              <w:jc w:val="right"/>
            </w:pPr>
            <w:r>
              <w:t xml:space="preserve">-11624.71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-5265539.7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Vaccination only</w:t>
            </w:r>
          </w:p>
        </w:tc>
        <w:tc>
          <w:p>
            <w:pPr>
              <w:pStyle w:val="Compact"/>
              <w:jc w:val="right"/>
            </w:pPr>
            <w:r>
              <w:t xml:space="preserve">23004.93</w:t>
            </w:r>
          </w:p>
        </w:tc>
        <w:tc>
          <w:p>
            <w:pPr>
              <w:pStyle w:val="Compact"/>
              <w:jc w:val="right"/>
            </w:pPr>
            <w:r>
              <w:t xml:space="preserve">61210387336</w:t>
            </w:r>
          </w:p>
        </w:tc>
        <w:tc>
          <w:p>
            <w:pPr>
              <w:pStyle w:val="Compact"/>
              <w:jc w:val="right"/>
            </w:pPr>
            <w:r>
              <w:t xml:space="preserve">2660750.6</w:t>
            </w:r>
          </w:p>
        </w:tc>
      </w:tr>
    </w:tbl>
    <w:bookmarkEnd w:id="20"/>
    <w:bookmarkStart w:id="24" w:name="sensitivity-analysis"/>
    <w:p>
      <w:pPr>
        <w:pStyle w:val="Heading2"/>
      </w:pPr>
      <w:r>
        <w:t xml:space="preserve">Sensitivity Analysis</w:t>
      </w:r>
    </w:p>
    <w:p>
      <w:pPr>
        <w:pStyle w:val="FirstParagraph"/>
      </w:pPr>
      <w:r>
        <w:t xml:space="preserve">Sensitivity analysis looking at cost-per-death averted of COVID-19 vaccination for three doses of vaccine, using a range of IFR, vaccine efficacy against mortality, and cost-per-dose of vaccine delivered. IFR range includes the estimate for pre-Omicron IFR (5/1,000), and estimates for Omicron including 1/10th IFR (5/10,000), and 1/5th IFR (1/1,000). Vaccine efficacy against mortality is estimated at 90% for the low range and 99% for the high range. Cost-per-dose of vaccine is ranged fro $5 to $10. In addition, the estimates use excess mortality data to estimate previous infection and an 80% natural immunity effect on mortality.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equity_Global_third-dose_1.20.22_everyoneomicro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equity_Global_third-dose_1.20.22_everyoneomicron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Vaccine_equity_Global_third-dose_1.20.22_everyoneomicron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Sensitivity analysis results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p>
            <w:pPr>
              <w:pStyle w:val="Compact"/>
              <w:jc w:val="left"/>
            </w:pPr>
            <w:r>
              <w:t xml:space="preserve">dose cost</w:t>
            </w:r>
          </w:p>
        </w:tc>
        <w:tc>
          <w:p>
            <w:pPr>
              <w:pStyle w:val="Compact"/>
              <w:jc w:val="right"/>
            </w:pPr>
            <w:r>
              <w:t xml:space="preserve">cost per death averted</w:t>
            </w:r>
          </w:p>
        </w:tc>
        <w:tc>
          <w:p>
            <w:pPr>
              <w:pStyle w:val="Compact"/>
              <w:jc w:val="left"/>
            </w:pPr>
            <w:r>
              <w:t xml:space="preserve">IFR</w:t>
            </w:r>
          </w:p>
        </w:tc>
        <w:tc>
          <w:p>
            <w:pPr>
              <w:pStyle w:val="Compact"/>
              <w:jc w:val="left"/>
            </w:pPr>
            <w:r>
              <w:t xml:space="preserve">vaccine_efficacy</w:t>
            </w:r>
          </w:p>
        </w:tc>
        <w:tc>
          <w:p>
            <w:pPr>
              <w:pStyle w:val="Compact"/>
              <w:jc w:val="right"/>
            </w:pPr>
            <w:r>
              <w:t xml:space="preserve">dose_cost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-38365.049</w:t>
            </w:r>
          </w:p>
        </w:tc>
        <w:tc>
          <w:p>
            <w:pPr>
              <w:pStyle w:val="Compact"/>
              <w:jc w:val="left"/>
            </w:pPr>
            <w:r>
              <w:t xml:space="preserve">5/10,000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-19182.524</w:t>
            </w:r>
          </w:p>
        </w:tc>
        <w:tc>
          <w:p>
            <w:pPr>
              <w:pStyle w:val="Compact"/>
              <w:jc w:val="left"/>
            </w:pPr>
            <w:r>
              <w:t xml:space="preserve">1/1,000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-3836.505</w:t>
            </w:r>
          </w:p>
        </w:tc>
        <w:tc>
          <w:p>
            <w:pPr>
              <w:pStyle w:val="Compact"/>
              <w:jc w:val="left"/>
            </w:pPr>
            <w:r>
              <w:t xml:space="preserve">5/1,000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-34877.317</w:t>
            </w:r>
          </w:p>
        </w:tc>
        <w:tc>
          <w:p>
            <w:pPr>
              <w:pStyle w:val="Compact"/>
              <w:jc w:val="left"/>
            </w:pPr>
            <w:r>
              <w:t xml:space="preserve">5/10,000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-17438.658</w:t>
            </w:r>
          </w:p>
        </w:tc>
        <w:tc>
          <w:p>
            <w:pPr>
              <w:pStyle w:val="Compact"/>
              <w:jc w:val="left"/>
            </w:pPr>
            <w:r>
              <w:t xml:space="preserve">1/1,000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-3487.732</w:t>
            </w:r>
          </w:p>
        </w:tc>
        <w:tc>
          <w:p>
            <w:pPr>
              <w:pStyle w:val="Compact"/>
              <w:jc w:val="left"/>
            </w:pPr>
            <w:r>
              <w:t xml:space="preserve">5/1,000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left"/>
            </w:pPr>
            <w:r>
              <w:t xml:space="preserve">values</w:t>
            </w:r>
          </w:p>
        </w:tc>
        <w:tc>
          <w:p>
            <w:pPr>
              <w:pStyle w:val="Compact"/>
              <w:jc w:val="left"/>
            </w:pPr>
            <w:r>
              <w:t xml:space="preserve">dose cost</w:t>
            </w:r>
          </w:p>
        </w:tc>
        <w:tc>
          <w:p>
            <w:pPr>
              <w:pStyle w:val="Compact"/>
              <w:jc w:val="right"/>
            </w:pPr>
            <w:r>
              <w:t xml:space="preserve">cost per death averted</w:t>
            </w:r>
          </w:p>
        </w:tc>
        <w:tc>
          <w:p>
            <w:pPr>
              <w:pStyle w:val="Compact"/>
              <w:jc w:val="left"/>
            </w:pPr>
            <w:r>
              <w:t xml:space="preserve">IFR</w:t>
            </w:r>
          </w:p>
        </w:tc>
        <w:tc>
          <w:p>
            <w:pPr>
              <w:pStyle w:val="Compact"/>
              <w:jc w:val="left"/>
            </w:pPr>
            <w:r>
              <w:t xml:space="preserve">vaccine_efficacy</w:t>
            </w:r>
          </w:p>
        </w:tc>
        <w:tc>
          <w:p>
            <w:pPr>
              <w:pStyle w:val="Compact"/>
              <w:jc w:val="right"/>
            </w:pPr>
            <w:r>
              <w:t xml:space="preserve">dose_cost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-46717.266</w:t>
            </w:r>
          </w:p>
        </w:tc>
        <w:tc>
          <w:p>
            <w:pPr>
              <w:pStyle w:val="Compact"/>
              <w:jc w:val="left"/>
            </w:pPr>
            <w:r>
              <w:t xml:space="preserve">5/10,000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-23358.633</w:t>
            </w:r>
          </w:p>
        </w:tc>
        <w:tc>
          <w:p>
            <w:pPr>
              <w:pStyle w:val="Compact"/>
              <w:jc w:val="left"/>
            </w:pPr>
            <w:r>
              <w:t xml:space="preserve">1/1,000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p>
            <w:pPr>
              <w:pStyle w:val="Compact"/>
              <w:jc w:val="left"/>
            </w:pPr>
            <w:r>
              <w:t xml:space="preserve">excess deaths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-4671.727</w:t>
            </w:r>
          </w:p>
        </w:tc>
        <w:tc>
          <w:p>
            <w:pPr>
              <w:pStyle w:val="Compact"/>
              <w:jc w:val="left"/>
            </w:pPr>
            <w:r>
              <w:t xml:space="preserve">5/1,000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/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right"/>
            </w:pPr>
            <w:r>
              <w:t xml:space="preserve">IFR</w:t>
            </w:r>
          </w:p>
        </w:tc>
        <w:tc>
          <w:p>
            <w:pPr>
              <w:pStyle w:val="Compact"/>
              <w:jc w:val="left"/>
            </w:pPr>
            <w:r>
              <w:t xml:space="preserve">vaccine_efficacy</w:t>
            </w:r>
          </w:p>
        </w:tc>
        <w:tc>
          <w:p>
            <w:pPr>
              <w:pStyle w:val="Compact"/>
              <w:jc w:val="right"/>
            </w:pPr>
            <w:r>
              <w:t xml:space="preserve">deaths_averted</w:t>
            </w:r>
          </w:p>
        </w:tc>
        <w:tc>
          <w:p>
            <w:pPr>
              <w:pStyle w:val="Compact"/>
              <w:jc w:val="right"/>
            </w:pPr>
            <w:r>
              <w:t xml:space="preserve">deaths_averted_hundredthous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-1595473</w:t>
            </w:r>
          </w:p>
        </w:tc>
        <w:tc>
          <w:p>
            <w:pPr>
              <w:pStyle w:val="Compact"/>
              <w:jc w:val="right"/>
            </w:pPr>
            <w:r>
              <w:t xml:space="preserve">-15.95473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1e-03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-3190945</w:t>
            </w:r>
          </w:p>
        </w:tc>
        <w:tc>
          <w:p>
            <w:pPr>
              <w:pStyle w:val="Compact"/>
              <w:jc w:val="right"/>
            </w:pPr>
            <w:r>
              <w:t xml:space="preserve">-31.90945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5e-03</w:t>
            </w:r>
          </w:p>
        </w:tc>
        <w:tc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p>
            <w:pPr>
              <w:pStyle w:val="Compact"/>
              <w:jc w:val="right"/>
            </w:pPr>
            <w:r>
              <w:t xml:space="preserve">-15954727</w:t>
            </w:r>
          </w:p>
        </w:tc>
        <w:tc>
          <w:p>
            <w:pPr>
              <w:pStyle w:val="Compact"/>
              <w:jc w:val="right"/>
            </w:pPr>
            <w:r>
              <w:t xml:space="preserve">-159.54727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-1755020</w:t>
            </w:r>
          </w:p>
        </w:tc>
        <w:tc>
          <w:p>
            <w:pPr>
              <w:pStyle w:val="Compact"/>
              <w:jc w:val="right"/>
            </w:pPr>
            <w:r>
              <w:t xml:space="preserve">-17.55020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1e-03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-3510040</w:t>
            </w:r>
          </w:p>
        </w:tc>
        <w:tc>
          <w:p>
            <w:pPr>
              <w:pStyle w:val="Compact"/>
              <w:jc w:val="right"/>
            </w:pPr>
            <w:r>
              <w:t xml:space="preserve">-35.10040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5e-03</w:t>
            </w:r>
          </w:p>
        </w:tc>
        <w:tc>
          <w:p>
            <w:pPr>
              <w:pStyle w:val="Compact"/>
              <w:jc w:val="left"/>
            </w:pPr>
            <w:r>
              <w:t xml:space="preserve">99%</w:t>
            </w:r>
          </w:p>
        </w:tc>
        <w:tc>
          <w:p>
            <w:pPr>
              <w:pStyle w:val="Compact"/>
              <w:jc w:val="right"/>
            </w:pPr>
            <w:r>
              <w:t xml:space="preserve">-17550200</w:t>
            </w:r>
          </w:p>
        </w:tc>
        <w:tc>
          <w:p>
            <w:pPr>
              <w:pStyle w:val="Compact"/>
              <w:jc w:val="right"/>
            </w:pPr>
            <w:r>
              <w:t xml:space="preserve">-175.50200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5e-04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right"/>
            </w:pPr>
            <w:r>
              <w:t xml:space="preserve">-1310231</w:t>
            </w:r>
          </w:p>
        </w:tc>
        <w:tc>
          <w:p>
            <w:pPr>
              <w:pStyle w:val="Compact"/>
              <w:jc w:val="right"/>
            </w:pPr>
            <w:r>
              <w:t xml:space="preserve">-13.10231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1e-03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right"/>
            </w:pPr>
            <w:r>
              <w:t xml:space="preserve">-2620461</w:t>
            </w:r>
          </w:p>
        </w:tc>
        <w:tc>
          <w:p>
            <w:pPr>
              <w:pStyle w:val="Compact"/>
              <w:jc w:val="right"/>
            </w:pPr>
            <w:r>
              <w:t xml:space="preserve">-26.20461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5e-03</w:t>
            </w:r>
          </w:p>
        </w:tc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right"/>
            </w:pPr>
            <w:r>
              <w:t xml:space="preserve">-13102305</w:t>
            </w:r>
          </w:p>
        </w:tc>
        <w:tc>
          <w:p>
            <w:pPr>
              <w:pStyle w:val="Compact"/>
              <w:jc w:val="right"/>
            </w:pPr>
            <w:r>
              <w:t xml:space="preserve">-131.02305</w:t>
            </w:r>
          </w:p>
        </w:tc>
      </w:tr>
    </w:tbl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Vaccine Equity Globally, LIC/LMIC only</dc:title>
  <dc:creator>Alexandra Savinkina</dc:creator>
  <cp:keywords/>
  <dcterms:created xsi:type="dcterms:W3CDTF">2022-07-18T21:52:53Z</dcterms:created>
  <dcterms:modified xsi:type="dcterms:W3CDTF">2022-07-18T21:52:53Z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1/15/2022</vt:lpwstr>
  </property>
  <property fmtid="{D5CDD505-2E9C-101B-9397-08002B2CF9AE}" pid="3" name="output">
    <vt:lpwstr/>
  </property>
</Properties>
</file>