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pPr>
    </w:p>
    <w:p>
      <w:pPr>
        <w:spacing w:after="200"/>
        <w:jc w:val="center"/>
      </w:pPr>
      <w:r>
        <w:rPr>
          <w:rFonts w:ascii="Arial" w:cs="Arial" w:eastAsia="Arial" w:hAnsi="Arial"/>
          <w:b/>
          <w:bCs/>
          <w:color w:val="0B1D3A"/>
          <w:sz w:val="48"/>
          <w:szCs w:val="48"/>
        </w:rPr>
        <w:t xml:space="preserve">Adverse Event Management Policy</w:t>
      </w:r>
    </w:p>
    <w:p>
      <w:pPr>
        <w:spacing w:after="400"/>
        <w:jc w:val="center"/>
      </w:pPr>
      <w:r>
        <w:rPr>
          <w:rFonts w:ascii="Arial" w:cs="Arial" w:eastAsia="Arial" w:hAnsi="Arial"/>
          <w:b/>
          <w:bCs/>
          <w:color w:val="D4AF37"/>
          <w:sz w:val="20"/>
          <w:szCs w:val="20"/>
        </w:rPr>
        <w:t xml:space="preserve">Health and Social Care Act 2008  |  CQC Regulation 12 &amp; 20  |  MHRA Yellow Card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Reference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POL-AC-05</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 + 12 months]</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Applies To</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Trigger</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Organisation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All practitioners and clinical staff</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Name], [Insert Title]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Annually, after any adverse event, or on regulatory change</w:t>
            </w:r>
          </w:p>
        </w:tc>
      </w:tr>
    </w:tbl>
    <w:p>
      <w:pPr>
        <w:spacing w:before="300"/>
      </w:pPr>
    </w:p>
    <w:p>
      <w:pPr>
        <w:spacing w:after="120" w:before="0" w:line="276"/>
        <w:jc w:val="center"/>
      </w:pPr>
      <w:r>
        <w:rPr>
          <w:rFonts w:ascii="Arial" w:cs="Arial" w:eastAsia="Arial" w:hAnsi="Arial"/>
          <w:b/>
          <w:bCs/>
          <w:color w:val="0B1D3A"/>
          <w:sz w:val="20"/>
          <w:szCs w:val="20"/>
        </w:rPr>
        <w:t xml:space="preserve">CONFIDENTIALITY NOTICE</w:t>
      </w:r>
    </w:p>
    <w:p>
      <w:pPr>
        <w:spacing w:after="120" w:before="0" w:line="276"/>
        <w:jc w:val="center"/>
      </w:pPr>
      <w:r>
        <w:rPr>
          <w:rFonts w:ascii="Arial" w:cs="Arial" w:eastAsia="Arial" w:hAnsi="Arial"/>
          <w:color w:val="000000"/>
          <w:sz w:val="22"/>
          <w:szCs w:val="22"/>
        </w:rPr>
        <w:t xml:space="preserve">This document and the information contained therein is the property of [Insert Organisation Name]. It must not be reproduced or disclosed without prior written consent.</w:t>
      </w:r>
    </w:p>
    <w:p>
      <w:r>
        <w:br w:type="page"/>
      </w:r>
    </w:p>
    <w:p>
      <w:pPr>
        <w:pBdr>
          <w:bottom w:val="single" w:color="D4AF37" w:sz="2" w:space="4"/>
        </w:pBdr>
        <w:spacing w:after="150" w:before="300"/>
      </w:pPr>
      <w:r>
        <w:rPr>
          <w:rFonts w:ascii="Arial" w:cs="Arial" w:eastAsia="Arial" w:hAnsi="Arial"/>
          <w:b/>
          <w:bCs/>
          <w:color w:val="0B1D3A"/>
          <w:sz w:val="28"/>
          <w:szCs w:val="28"/>
        </w:rPr>
        <w:t xml:space="preserve">1. Introduction</w:t>
      </w:r>
    </w:p>
    <w:p>
      <w:pPr>
        <w:spacing w:after="120" w:before="0" w:line="276"/>
      </w:pPr>
      <w:r>
        <w:rPr>
          <w:rFonts w:ascii="Arial" w:cs="Arial" w:eastAsia="Arial" w:hAnsi="Arial"/>
          <w:color w:val="000000"/>
          <w:sz w:val="22"/>
          <w:szCs w:val="22"/>
        </w:rPr>
        <w:t xml:space="preserve">[Insert Organisation Name] is committed to the prompt identification, management and reporting of adverse events arising from aesthetic procedures. This policy ensures compliance with CQC Regulations 12 (Safe care and treatment) and 20 (Duty of Candour).</w:t>
      </w:r>
    </w:p>
    <w:p>
      <w:pPr>
        <w:pBdr>
          <w:bottom w:val="single" w:color="D4AF37" w:sz="2" w:space="4"/>
        </w:pBdr>
        <w:spacing w:after="150" w:before="300"/>
      </w:pPr>
      <w:r>
        <w:rPr>
          <w:rFonts w:ascii="Arial" w:cs="Arial" w:eastAsia="Arial" w:hAnsi="Arial"/>
          <w:b/>
          <w:bCs/>
          <w:color w:val="0B1D3A"/>
          <w:sz w:val="28"/>
          <w:szCs w:val="28"/>
        </w:rPr>
        <w:t xml:space="preserve">2. Legal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Legislation</w:t>
            </w:r>
          </w:p>
        </w:tc>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Social Care Act 2008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Regulation 12 (Safe care and treatment) and Regulation 20 (Duty of Candour)</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CQC (Registration) Regulations 2009</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Regulation 18 — notification of other incidents including serious injuries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MHRA Yellow Card Scheme</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Reporting of suspected adverse reactions to medicines and medical devices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Consumer Protection Act 1987</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Strict liability for injury caused by defective products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Safety at Work Act 1974</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Duty to report workplace injuries under RIDDOR</w:t>
            </w:r>
          </w:p>
        </w:tc>
      </w:tr>
    </w:tbl>
    <w:p>
      <w:pPr>
        <w:pBdr>
          <w:bottom w:val="single" w:color="D4AF37" w:sz="2" w:space="4"/>
        </w:pBdr>
        <w:spacing w:after="150" w:before="300"/>
      </w:pPr>
      <w:r>
        <w:rPr>
          <w:rFonts w:ascii="Arial" w:cs="Arial" w:eastAsia="Arial" w:hAnsi="Arial"/>
          <w:b/>
          <w:bCs/>
          <w:color w:val="0B1D3A"/>
          <w:sz w:val="28"/>
          <w:szCs w:val="28"/>
        </w:rPr>
        <w:t xml:space="preserve">3. Definition of Adverse Event</w:t>
      </w:r>
    </w:p>
    <w:p>
      <w:pPr>
        <w:spacing w:after="120" w:before="0" w:line="276"/>
      </w:pPr>
      <w:r>
        <w:rPr>
          <w:rFonts w:ascii="Arial" w:cs="Arial" w:eastAsia="Arial" w:hAnsi="Arial"/>
          <w:color w:val="000000"/>
          <w:sz w:val="22"/>
          <w:szCs w:val="22"/>
        </w:rPr>
        <w:t xml:space="preserve">An adverse event is any unintended or unexpected outcome of an aesthetic procedure that causes harm, distress or a deviation from expected outcomes. This includes:</w:t>
      </w:r>
    </w:p>
    <w:p>
      <w:pPr>
        <w:pStyle w:val="ListParagraph"/>
        <w:numPr>
          <w:ilvl w:val="0"/>
          <w:numId w:val="2"/>
        </w:numPr>
      </w:pPr>
      <w:r>
        <w:rPr>
          <w:rFonts w:ascii="Arial" w:cs="Arial" w:eastAsia="Arial" w:hAnsi="Arial"/>
          <w:color w:val="000000"/>
          <w:sz w:val="22"/>
          <w:szCs w:val="22"/>
        </w:rPr>
        <w:t xml:space="preserve">Vascular occlusion (compromised blood supply to tissue)</w:t>
      </w:r>
    </w:p>
    <w:p>
      <w:pPr>
        <w:pStyle w:val="ListParagraph"/>
        <w:numPr>
          <w:ilvl w:val="0"/>
          <w:numId w:val="2"/>
        </w:numPr>
      </w:pPr>
      <w:r>
        <w:rPr>
          <w:rFonts w:ascii="Arial" w:cs="Arial" w:eastAsia="Arial" w:hAnsi="Arial"/>
          <w:color w:val="000000"/>
          <w:sz w:val="22"/>
          <w:szCs w:val="22"/>
        </w:rPr>
        <w:t xml:space="preserve">Blindness or visual disturbance following filler injection</w:t>
      </w:r>
    </w:p>
    <w:p>
      <w:pPr>
        <w:pStyle w:val="ListParagraph"/>
        <w:numPr>
          <w:ilvl w:val="0"/>
          <w:numId w:val="2"/>
        </w:numPr>
      </w:pPr>
      <w:r>
        <w:rPr>
          <w:rFonts w:ascii="Arial" w:cs="Arial" w:eastAsia="Arial" w:hAnsi="Arial"/>
          <w:color w:val="000000"/>
          <w:sz w:val="22"/>
          <w:szCs w:val="22"/>
        </w:rPr>
        <w:t xml:space="preserve">Tissue necrosis</w:t>
      </w:r>
    </w:p>
    <w:p>
      <w:pPr>
        <w:pStyle w:val="ListParagraph"/>
        <w:numPr>
          <w:ilvl w:val="0"/>
          <w:numId w:val="2"/>
        </w:numPr>
      </w:pPr>
      <w:r>
        <w:rPr>
          <w:rFonts w:ascii="Arial" w:cs="Arial" w:eastAsia="Arial" w:hAnsi="Arial"/>
          <w:color w:val="000000"/>
          <w:sz w:val="22"/>
          <w:szCs w:val="22"/>
        </w:rPr>
        <w:t xml:space="preserve">Severe allergic reaction or anaphylaxis</w:t>
      </w:r>
    </w:p>
    <w:p>
      <w:pPr>
        <w:pStyle w:val="ListParagraph"/>
        <w:numPr>
          <w:ilvl w:val="0"/>
          <w:numId w:val="2"/>
        </w:numPr>
      </w:pPr>
      <w:r>
        <w:rPr>
          <w:rFonts w:ascii="Arial" w:cs="Arial" w:eastAsia="Arial" w:hAnsi="Arial"/>
          <w:color w:val="000000"/>
          <w:sz w:val="22"/>
          <w:szCs w:val="22"/>
        </w:rPr>
        <w:t xml:space="preserve">Infection at the treatment site</w:t>
      </w:r>
    </w:p>
    <w:p>
      <w:pPr>
        <w:pStyle w:val="ListParagraph"/>
        <w:numPr>
          <w:ilvl w:val="0"/>
          <w:numId w:val="2"/>
        </w:numPr>
      </w:pPr>
      <w:r>
        <w:rPr>
          <w:rFonts w:ascii="Arial" w:cs="Arial" w:eastAsia="Arial" w:hAnsi="Arial"/>
          <w:color w:val="000000"/>
          <w:sz w:val="22"/>
          <w:szCs w:val="22"/>
        </w:rPr>
        <w:t xml:space="preserve">Nerve damage or prolonged numbness</w:t>
      </w:r>
    </w:p>
    <w:p>
      <w:pPr>
        <w:pStyle w:val="ListParagraph"/>
        <w:numPr>
          <w:ilvl w:val="0"/>
          <w:numId w:val="2"/>
        </w:numPr>
      </w:pPr>
      <w:r>
        <w:rPr>
          <w:rFonts w:ascii="Arial" w:cs="Arial" w:eastAsia="Arial" w:hAnsi="Arial"/>
          <w:color w:val="000000"/>
          <w:sz w:val="22"/>
          <w:szCs w:val="22"/>
        </w:rPr>
        <w:t xml:space="preserve">Asymmetry or unsatisfactory cosmetic outcome requiring correction</w:t>
      </w:r>
    </w:p>
    <w:p>
      <w:pPr>
        <w:pStyle w:val="ListParagraph"/>
        <w:numPr>
          <w:ilvl w:val="0"/>
          <w:numId w:val="2"/>
        </w:numPr>
      </w:pPr>
      <w:r>
        <w:rPr>
          <w:rFonts w:ascii="Arial" w:cs="Arial" w:eastAsia="Arial" w:hAnsi="Arial"/>
          <w:color w:val="000000"/>
          <w:sz w:val="22"/>
          <w:szCs w:val="22"/>
        </w:rPr>
        <w:t xml:space="preserve">Granuloma formation</w:t>
      </w:r>
    </w:p>
    <w:p>
      <w:pPr>
        <w:pStyle w:val="ListParagraph"/>
        <w:numPr>
          <w:ilvl w:val="0"/>
          <w:numId w:val="2"/>
        </w:numPr>
      </w:pPr>
      <w:r>
        <w:rPr>
          <w:rFonts w:ascii="Arial" w:cs="Arial" w:eastAsia="Arial" w:hAnsi="Arial"/>
          <w:color w:val="000000"/>
          <w:sz w:val="22"/>
          <w:szCs w:val="22"/>
        </w:rPr>
        <w:t xml:space="preserve">Any outcome requiring emergency medical attention</w:t>
      </w:r>
    </w:p>
    <w:p>
      <w:pPr>
        <w:pBdr>
          <w:bottom w:val="single" w:color="D4AF37" w:sz="2" w:space="4"/>
        </w:pBdr>
        <w:spacing w:after="150" w:before="300"/>
      </w:pPr>
      <w:r>
        <w:rPr>
          <w:rFonts w:ascii="Arial" w:cs="Arial" w:eastAsia="Arial" w:hAnsi="Arial"/>
          <w:b/>
          <w:bCs/>
          <w:color w:val="0B1D3A"/>
          <w:sz w:val="28"/>
          <w:szCs w:val="28"/>
        </w:rPr>
        <w:t xml:space="preserve">4. Immediate Management</w:t>
      </w:r>
    </w:p>
    <w:p>
      <w:pPr>
        <w:spacing w:after="120" w:before="0" w:line="276"/>
      </w:pPr>
      <w:r>
        <w:rPr>
          <w:rFonts w:ascii="Arial" w:cs="Arial" w:eastAsia="Arial" w:hAnsi="Arial"/>
          <w:color w:val="000000"/>
          <w:sz w:val="22"/>
          <w:szCs w:val="22"/>
        </w:rPr>
        <w:t xml:space="preserve">If an adverse event occurs or is suspected, the practitioner must:</w:t>
      </w:r>
    </w:p>
    <w:p>
      <w:pPr>
        <w:pStyle w:val="ListParagraph"/>
        <w:numPr>
          <w:ilvl w:val="0"/>
          <w:numId w:val="3"/>
        </w:numPr>
      </w:pPr>
      <w:r>
        <w:rPr>
          <w:rFonts w:ascii="Arial" w:cs="Arial" w:eastAsia="Arial" w:hAnsi="Arial"/>
          <w:color w:val="000000"/>
          <w:sz w:val="22"/>
          <w:szCs w:val="22"/>
        </w:rPr>
        <w:t xml:space="preserve">Stop the procedure immediately</w:t>
      </w:r>
    </w:p>
    <w:p>
      <w:pPr>
        <w:pStyle w:val="ListParagraph"/>
        <w:numPr>
          <w:ilvl w:val="0"/>
          <w:numId w:val="3"/>
        </w:numPr>
      </w:pPr>
      <w:r>
        <w:rPr>
          <w:rFonts w:ascii="Arial" w:cs="Arial" w:eastAsia="Arial" w:hAnsi="Arial"/>
          <w:color w:val="000000"/>
          <w:sz w:val="22"/>
          <w:szCs w:val="22"/>
        </w:rPr>
        <w:t xml:space="preserve">Assess the client’s condition and provide immediate first aid or emergency treatment</w:t>
      </w:r>
    </w:p>
    <w:p>
      <w:pPr>
        <w:pStyle w:val="ListParagraph"/>
        <w:numPr>
          <w:ilvl w:val="0"/>
          <w:numId w:val="3"/>
        </w:numPr>
      </w:pPr>
      <w:r>
        <w:rPr>
          <w:rFonts w:ascii="Arial" w:cs="Arial" w:eastAsia="Arial" w:hAnsi="Arial"/>
          <w:color w:val="000000"/>
          <w:sz w:val="22"/>
          <w:szCs w:val="22"/>
        </w:rPr>
        <w:t xml:space="preserve">In the event of suspected vascular occlusion: administer hyaluronidase immediately (if dermal filler), apply warm compress, refer to hospital if symptoms do not resolve</w:t>
      </w:r>
    </w:p>
    <w:p>
      <w:pPr>
        <w:pStyle w:val="ListParagraph"/>
        <w:numPr>
          <w:ilvl w:val="0"/>
          <w:numId w:val="3"/>
        </w:numPr>
      </w:pPr>
      <w:r>
        <w:rPr>
          <w:rFonts w:ascii="Arial" w:cs="Arial" w:eastAsia="Arial" w:hAnsi="Arial"/>
          <w:color w:val="000000"/>
          <w:sz w:val="22"/>
          <w:szCs w:val="22"/>
        </w:rPr>
        <w:t xml:space="preserve">In the event of anaphylaxis: follow the Resuscitation Council UK anaphylaxis algorithm, administer adrenaline, call 999</w:t>
      </w:r>
    </w:p>
    <w:p>
      <w:pPr>
        <w:pStyle w:val="ListParagraph"/>
        <w:numPr>
          <w:ilvl w:val="0"/>
          <w:numId w:val="3"/>
        </w:numPr>
      </w:pPr>
      <w:r>
        <w:rPr>
          <w:rFonts w:ascii="Arial" w:cs="Arial" w:eastAsia="Arial" w:hAnsi="Arial"/>
          <w:color w:val="000000"/>
          <w:sz w:val="22"/>
          <w:szCs w:val="22"/>
        </w:rPr>
        <w:t xml:space="preserve">Ensure emergency equipment and medications are accessible (adrenaline, hyaluronidase, oxygen)</w:t>
      </w:r>
    </w:p>
    <w:p>
      <w:pPr>
        <w:pStyle w:val="ListParagraph"/>
        <w:numPr>
          <w:ilvl w:val="0"/>
          <w:numId w:val="3"/>
        </w:numPr>
      </w:pPr>
      <w:r>
        <w:rPr>
          <w:rFonts w:ascii="Arial" w:cs="Arial" w:eastAsia="Arial" w:hAnsi="Arial"/>
          <w:color w:val="000000"/>
          <w:sz w:val="22"/>
          <w:szCs w:val="22"/>
        </w:rPr>
        <w:t xml:space="preserve">Remain calm and reassure the client</w:t>
      </w:r>
    </w:p>
    <w:p>
      <w:pPr>
        <w:pStyle w:val="ListParagraph"/>
        <w:numPr>
          <w:ilvl w:val="0"/>
          <w:numId w:val="3"/>
        </w:numPr>
      </w:pPr>
      <w:r>
        <w:rPr>
          <w:rFonts w:ascii="Arial" w:cs="Arial" w:eastAsia="Arial" w:hAnsi="Arial"/>
          <w:color w:val="000000"/>
          <w:sz w:val="22"/>
          <w:szCs w:val="22"/>
        </w:rPr>
        <w:t xml:space="preserve">Document all observations, actions taken and outcomes</w:t>
      </w:r>
    </w:p>
    <w:p>
      <w:pPr>
        <w:pBdr>
          <w:bottom w:val="single" w:color="D4AF37" w:sz="2" w:space="4"/>
        </w:pBdr>
        <w:spacing w:after="150" w:before="300"/>
      </w:pPr>
      <w:r>
        <w:rPr>
          <w:rFonts w:ascii="Arial" w:cs="Arial" w:eastAsia="Arial" w:hAnsi="Arial"/>
          <w:b/>
          <w:bCs/>
          <w:color w:val="0B1D3A"/>
          <w:sz w:val="28"/>
          <w:szCs w:val="28"/>
        </w:rPr>
        <w:t xml:space="preserve">5. Duty of Candour</w:t>
      </w:r>
    </w:p>
    <w:p>
      <w:pPr>
        <w:spacing w:after="120" w:before="0" w:line="276"/>
      </w:pPr>
      <w:r>
        <w:rPr>
          <w:rFonts w:ascii="Arial" w:cs="Arial" w:eastAsia="Arial" w:hAnsi="Arial"/>
          <w:color w:val="000000"/>
          <w:sz w:val="22"/>
          <w:szCs w:val="22"/>
        </w:rPr>
        <w:t xml:space="preserve">Under CQC Regulation 20, [Insert Organisation Name] must be open and transparent with clients when things go wrong. The Duty of Candour requires:</w:t>
      </w:r>
    </w:p>
    <w:p>
      <w:pPr>
        <w:pStyle w:val="ListParagraph"/>
        <w:numPr>
          <w:ilvl w:val="0"/>
          <w:numId w:val="4"/>
        </w:numPr>
      </w:pPr>
      <w:r>
        <w:rPr>
          <w:rFonts w:ascii="Arial" w:cs="Arial" w:eastAsia="Arial" w:hAnsi="Arial"/>
          <w:color w:val="000000"/>
          <w:sz w:val="22"/>
          <w:szCs w:val="22"/>
        </w:rPr>
        <w:t xml:space="preserve">The client must be told about the incident as soon as reasonably practicable</w:t>
      </w:r>
    </w:p>
    <w:p>
      <w:pPr>
        <w:pStyle w:val="ListParagraph"/>
        <w:numPr>
          <w:ilvl w:val="0"/>
          <w:numId w:val="4"/>
        </w:numPr>
      </w:pPr>
      <w:r>
        <w:rPr>
          <w:rFonts w:ascii="Arial" w:cs="Arial" w:eastAsia="Arial" w:hAnsi="Arial"/>
          <w:color w:val="000000"/>
          <w:sz w:val="22"/>
          <w:szCs w:val="22"/>
        </w:rPr>
        <w:t xml:space="preserve">A full explanation of what happened must be provided, including what is known and what is being done</w:t>
      </w:r>
    </w:p>
    <w:p>
      <w:pPr>
        <w:pStyle w:val="ListParagraph"/>
        <w:numPr>
          <w:ilvl w:val="0"/>
          <w:numId w:val="4"/>
        </w:numPr>
      </w:pPr>
      <w:r>
        <w:rPr>
          <w:rFonts w:ascii="Arial" w:cs="Arial" w:eastAsia="Arial" w:hAnsi="Arial"/>
          <w:color w:val="000000"/>
          <w:sz w:val="22"/>
          <w:szCs w:val="22"/>
        </w:rPr>
        <w:t xml:space="preserve">An apology must be offered (an apology is not an admission of liability)</w:t>
      </w:r>
    </w:p>
    <w:p>
      <w:pPr>
        <w:pStyle w:val="ListParagraph"/>
        <w:numPr>
          <w:ilvl w:val="0"/>
          <w:numId w:val="4"/>
        </w:numPr>
      </w:pPr>
      <w:r>
        <w:rPr>
          <w:rFonts w:ascii="Arial" w:cs="Arial" w:eastAsia="Arial" w:hAnsi="Arial"/>
          <w:color w:val="000000"/>
          <w:sz w:val="22"/>
          <w:szCs w:val="22"/>
        </w:rPr>
        <w:t xml:space="preserve">The explanation and apology must be given in person where possible, and followed up in writing within 10 working days</w:t>
      </w:r>
    </w:p>
    <w:p>
      <w:pPr>
        <w:pStyle w:val="ListParagraph"/>
        <w:numPr>
          <w:ilvl w:val="0"/>
          <w:numId w:val="4"/>
        </w:numPr>
      </w:pPr>
      <w:r>
        <w:rPr>
          <w:rFonts w:ascii="Arial" w:cs="Arial" w:eastAsia="Arial" w:hAnsi="Arial"/>
          <w:color w:val="000000"/>
          <w:sz w:val="22"/>
          <w:szCs w:val="22"/>
        </w:rPr>
        <w:t xml:space="preserve">A record of all Duty of Candour communications must be maintained</w:t>
      </w:r>
    </w:p>
    <w:p>
      <w:pPr>
        <w:pBdr>
          <w:bottom w:val="single" w:color="D4AF37" w:sz="2" w:space="4"/>
        </w:pBdr>
        <w:spacing w:after="150" w:before="300"/>
      </w:pPr>
      <w:r>
        <w:rPr>
          <w:rFonts w:ascii="Arial" w:cs="Arial" w:eastAsia="Arial" w:hAnsi="Arial"/>
          <w:b/>
          <w:bCs/>
          <w:color w:val="0B1D3A"/>
          <w:sz w:val="28"/>
          <w:szCs w:val="28"/>
        </w:rPr>
        <w:t xml:space="preserve">6. Reporting</w:t>
      </w:r>
    </w:p>
    <w:p>
      <w:pPr>
        <w:spacing w:after="120" w:before="0" w:line="276"/>
      </w:pPr>
      <w:r>
        <w:rPr>
          <w:rFonts w:ascii="Arial" w:cs="Arial" w:eastAsia="Arial" w:hAnsi="Arial"/>
          <w:color w:val="000000"/>
          <w:sz w:val="22"/>
          <w:szCs w:val="22"/>
        </w:rPr>
        <w:t xml:space="preserve">The following reporting requirements apply:</w:t>
      </w:r>
    </w:p>
    <w:p>
      <w:pPr>
        <w:pStyle w:val="ListParagraph"/>
        <w:numPr>
          <w:ilvl w:val="0"/>
          <w:numId w:val="5"/>
        </w:numPr>
      </w:pPr>
      <w:r>
        <w:rPr>
          <w:rFonts w:ascii="Arial" w:cs="Arial" w:eastAsia="Arial" w:hAnsi="Arial"/>
          <w:color w:val="000000"/>
          <w:sz w:val="22"/>
          <w:szCs w:val="22"/>
        </w:rPr>
        <w:t xml:space="preserve">All adverse events must be recorded on an incident report form and reported to the Clinical Lead within 24 hours</w:t>
      </w:r>
    </w:p>
    <w:p>
      <w:pPr>
        <w:pStyle w:val="ListParagraph"/>
        <w:numPr>
          <w:ilvl w:val="0"/>
          <w:numId w:val="5"/>
        </w:numPr>
      </w:pPr>
      <w:r>
        <w:rPr>
          <w:rFonts w:ascii="Arial" w:cs="Arial" w:eastAsia="Arial" w:hAnsi="Arial"/>
          <w:color w:val="000000"/>
          <w:sz w:val="22"/>
          <w:szCs w:val="22"/>
        </w:rPr>
        <w:t xml:space="preserve">CQC must be notified without delay of any serious injury under Regulation 18 of the CQC (Registration) Regulations 2009</w:t>
      </w:r>
    </w:p>
    <w:p>
      <w:pPr>
        <w:pStyle w:val="ListParagraph"/>
        <w:numPr>
          <w:ilvl w:val="0"/>
          <w:numId w:val="5"/>
        </w:numPr>
      </w:pPr>
      <w:r>
        <w:rPr>
          <w:rFonts w:ascii="Arial" w:cs="Arial" w:eastAsia="Arial" w:hAnsi="Arial"/>
          <w:color w:val="000000"/>
          <w:sz w:val="22"/>
          <w:szCs w:val="22"/>
        </w:rPr>
        <w:t xml:space="preserve">Suspected adverse reactions to medicines must be reported to the MHRA via the Yellow Card Scheme</w:t>
      </w:r>
    </w:p>
    <w:p>
      <w:pPr>
        <w:pStyle w:val="ListParagraph"/>
        <w:numPr>
          <w:ilvl w:val="0"/>
          <w:numId w:val="5"/>
        </w:numPr>
      </w:pPr>
      <w:r>
        <w:rPr>
          <w:rFonts w:ascii="Arial" w:cs="Arial" w:eastAsia="Arial" w:hAnsi="Arial"/>
          <w:color w:val="000000"/>
          <w:sz w:val="22"/>
          <w:szCs w:val="22"/>
        </w:rPr>
        <w:t xml:space="preserve">Suspected adverse incidents involving medical devices must be reported to the MHRA</w:t>
      </w:r>
    </w:p>
    <w:p>
      <w:pPr>
        <w:pStyle w:val="ListParagraph"/>
        <w:numPr>
          <w:ilvl w:val="0"/>
          <w:numId w:val="5"/>
        </w:numPr>
      </w:pPr>
      <w:r>
        <w:rPr>
          <w:rFonts w:ascii="Arial" w:cs="Arial" w:eastAsia="Arial" w:hAnsi="Arial"/>
          <w:color w:val="000000"/>
          <w:sz w:val="22"/>
          <w:szCs w:val="22"/>
        </w:rPr>
        <w:t xml:space="preserve">RIDDOR-reportable injuries must be reported to the HSE</w:t>
      </w:r>
    </w:p>
    <w:p>
      <w:pPr>
        <w:pBdr>
          <w:bottom w:val="single" w:color="D4AF37" w:sz="2" w:space="4"/>
        </w:pBdr>
        <w:spacing w:after="150" w:before="300"/>
      </w:pPr>
      <w:r>
        <w:rPr>
          <w:rFonts w:ascii="Arial" w:cs="Arial" w:eastAsia="Arial" w:hAnsi="Arial"/>
          <w:b/>
          <w:bCs/>
          <w:color w:val="0B1D3A"/>
          <w:sz w:val="28"/>
          <w:szCs w:val="28"/>
        </w:rPr>
        <w:t xml:space="preserve">7. Investigation</w:t>
      </w:r>
    </w:p>
    <w:p>
      <w:pPr>
        <w:spacing w:after="120" w:before="0" w:line="276"/>
      </w:pPr>
      <w:r>
        <w:rPr>
          <w:rFonts w:ascii="Arial" w:cs="Arial" w:eastAsia="Arial" w:hAnsi="Arial"/>
          <w:color w:val="000000"/>
          <w:sz w:val="22"/>
          <w:szCs w:val="22"/>
        </w:rPr>
        <w:t xml:space="preserve">All adverse events must be investigated. The investigation must identify the root cause, any contributing factors, and actions to prevent recurrence. Findings must be shared with relevant staff and used to improve practice.</w:t>
      </w:r>
    </w:p>
    <w:p>
      <w:pPr>
        <w:pBdr>
          <w:bottom w:val="single" w:color="D4AF37" w:sz="2" w:space="4"/>
        </w:pBdr>
        <w:spacing w:after="150" w:before="300"/>
      </w:pPr>
      <w:r>
        <w:rPr>
          <w:rFonts w:ascii="Arial" w:cs="Arial" w:eastAsia="Arial" w:hAnsi="Arial"/>
          <w:b/>
          <w:bCs/>
          <w:color w:val="0B1D3A"/>
          <w:sz w:val="28"/>
          <w:szCs w:val="28"/>
        </w:rPr>
        <w:t xml:space="preserve">8. Emergency Equipment</w:t>
      </w:r>
    </w:p>
    <w:p>
      <w:pPr>
        <w:spacing w:after="120" w:before="0" w:line="276"/>
      </w:pPr>
      <w:r>
        <w:rPr>
          <w:rFonts w:ascii="Arial" w:cs="Arial" w:eastAsia="Arial" w:hAnsi="Arial"/>
          <w:color w:val="000000"/>
          <w:sz w:val="22"/>
          <w:szCs w:val="22"/>
        </w:rPr>
        <w:t xml:space="preserve">The following emergency equipment must be immediately accessible in the clinic at all times:</w:t>
      </w:r>
    </w:p>
    <w:p>
      <w:pPr>
        <w:pStyle w:val="ListParagraph"/>
        <w:numPr>
          <w:ilvl w:val="0"/>
          <w:numId w:val="6"/>
        </w:numPr>
      </w:pPr>
      <w:r>
        <w:rPr>
          <w:rFonts w:ascii="Arial" w:cs="Arial" w:eastAsia="Arial" w:hAnsi="Arial"/>
          <w:color w:val="000000"/>
          <w:sz w:val="22"/>
          <w:szCs w:val="22"/>
        </w:rPr>
        <w:t xml:space="preserve">Hyaluronidase (for reversal of hyaluronic acid fillers) — in date and stored correctly</w:t>
      </w:r>
    </w:p>
    <w:p>
      <w:pPr>
        <w:pStyle w:val="ListParagraph"/>
        <w:numPr>
          <w:ilvl w:val="0"/>
          <w:numId w:val="6"/>
        </w:numPr>
      </w:pPr>
      <w:r>
        <w:rPr>
          <w:rFonts w:ascii="Arial" w:cs="Arial" w:eastAsia="Arial" w:hAnsi="Arial"/>
          <w:color w:val="000000"/>
          <w:sz w:val="22"/>
          <w:szCs w:val="22"/>
        </w:rPr>
        <w:t xml:space="preserve">Adrenaline (epinephrine) auto-injectors or ampoules for anaphylaxis management</w:t>
      </w:r>
    </w:p>
    <w:p>
      <w:pPr>
        <w:pStyle w:val="ListParagraph"/>
        <w:numPr>
          <w:ilvl w:val="0"/>
          <w:numId w:val="6"/>
        </w:numPr>
      </w:pPr>
      <w:r>
        <w:rPr>
          <w:rFonts w:ascii="Arial" w:cs="Arial" w:eastAsia="Arial" w:hAnsi="Arial"/>
          <w:color w:val="000000"/>
          <w:sz w:val="22"/>
          <w:szCs w:val="22"/>
        </w:rPr>
        <w:t xml:space="preserve">Basic life support equipment (pocket mask, oxygen if available)</w:t>
      </w:r>
    </w:p>
    <w:p>
      <w:pPr>
        <w:pStyle w:val="ListParagraph"/>
        <w:numPr>
          <w:ilvl w:val="0"/>
          <w:numId w:val="6"/>
        </w:numPr>
      </w:pPr>
      <w:r>
        <w:rPr>
          <w:rFonts w:ascii="Arial" w:cs="Arial" w:eastAsia="Arial" w:hAnsi="Arial"/>
          <w:color w:val="000000"/>
          <w:sz w:val="22"/>
          <w:szCs w:val="22"/>
        </w:rPr>
        <w:t xml:space="preserve">Blood pressure monitor and pulse oximeter</w:t>
      </w:r>
    </w:p>
    <w:p>
      <w:pPr>
        <w:pStyle w:val="ListParagraph"/>
        <w:numPr>
          <w:ilvl w:val="0"/>
          <w:numId w:val="6"/>
        </w:numPr>
      </w:pPr>
      <w:r>
        <w:rPr>
          <w:rFonts w:ascii="Arial" w:cs="Arial" w:eastAsia="Arial" w:hAnsi="Arial"/>
          <w:color w:val="000000"/>
          <w:sz w:val="22"/>
          <w:szCs w:val="22"/>
        </w:rPr>
        <w:t xml:space="preserve">Emergency telephone numbers displayed prominently</w:t>
      </w:r>
    </w:p>
    <w:p>
      <w:pPr>
        <w:pBdr>
          <w:bottom w:val="single" w:color="D4AF37" w:sz="2" w:space="4"/>
        </w:pBdr>
        <w:spacing w:after="150" w:before="300"/>
      </w:pPr>
      <w:r>
        <w:rPr>
          <w:rFonts w:ascii="Arial" w:cs="Arial" w:eastAsia="Arial" w:hAnsi="Arial"/>
          <w:b/>
          <w:bCs/>
          <w:color w:val="0B1D3A"/>
          <w:sz w:val="28"/>
          <w:szCs w:val="28"/>
        </w:rPr>
        <w:t xml:space="preserve">9. Training</w:t>
      </w:r>
    </w:p>
    <w:p>
      <w:pPr>
        <w:spacing w:after="120" w:before="0" w:line="276"/>
      </w:pPr>
      <w:r>
        <w:rPr>
          <w:rFonts w:ascii="Arial" w:cs="Arial" w:eastAsia="Arial" w:hAnsi="Arial"/>
          <w:color w:val="000000"/>
          <w:sz w:val="22"/>
          <w:szCs w:val="22"/>
        </w:rPr>
        <w:t xml:space="preserve">All practitioners must complete complication management training including recognition and treatment of vascular occlusion, anaphylaxis and other emergencies. Basic Life Support (BLS) certification must be maintained.</w:t>
      </w:r>
    </w:p>
    <w:p>
      <w:pPr>
        <w:pBdr>
          <w:bottom w:val="single" w:color="D4AF37" w:sz="2" w:space="4"/>
        </w:pBdr>
        <w:spacing w:after="150" w:before="300"/>
      </w:pPr>
      <w:r>
        <w:rPr>
          <w:rFonts w:ascii="Arial" w:cs="Arial" w:eastAsia="Arial" w:hAnsi="Arial"/>
          <w:b/>
          <w:bCs/>
          <w:color w:val="0B1D3A"/>
          <w:sz w:val="28"/>
          <w:szCs w:val="28"/>
        </w:rPr>
        <w:t xml:space="preserve">10. Responsibilities</w:t>
      </w:r>
    </w:p>
    <w:p>
      <w:pPr>
        <w:spacing w:after="120" w:before="0" w:line="276"/>
      </w:pPr>
      <w:r>
        <w:rPr>
          <w:rFonts w:ascii="Arial" w:cs="Arial" w:eastAsia="Arial" w:hAnsi="Arial"/>
          <w:color w:val="000000"/>
          <w:sz w:val="22"/>
          <w:szCs w:val="22"/>
        </w:rPr>
        <w:t xml:space="preserve">The Clinical Lead ([Insert Name]) is responsible for overseeing adverse event management, ensuring emergency equipment is available and in date, and ensuring all incidents are reported and investigated.</w:t>
      </w:r>
    </w:p>
    <w:p>
      <w:r>
        <w:br w:type="page"/>
      </w:r>
    </w:p>
    <w:p>
      <w:pPr>
        <w:pBdr>
          <w:bottom w:val="single" w:color="D4AF37" w:sz="2" w:space="4"/>
        </w:pBdr>
        <w:spacing w:after="150" w:before="300"/>
      </w:pPr>
      <w:r>
        <w:rPr>
          <w:rFonts w:ascii="Arial" w:cs="Arial" w:eastAsia="Arial" w:hAnsi="Arial"/>
          <w:b/>
          <w:bCs/>
          <w:color w:val="0B1D3A"/>
          <w:sz w:val="28"/>
          <w:szCs w:val="28"/>
        </w:rPr>
        <w:t xml:space="preserve">Sign-Off</w:t>
      </w:r>
    </w:p>
    <w:p>
      <w:pPr>
        <w:spacing w:after="120" w:before="0" w:line="276"/>
      </w:pPr>
      <w:r>
        <w:rPr>
          <w:rFonts w:ascii="Arial" w:cs="Arial" w:eastAsia="Arial" w:hAnsi="Arial"/>
          <w:color w:val="000000"/>
          <w:sz w:val="22"/>
          <w:szCs w:val="22"/>
        </w:rPr>
        <w:t xml:space="preserve">This document has been approved and authorised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Title]</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Approved</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Review</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 + 12 months]</w:t>
            </w:r>
          </w:p>
        </w:tc>
      </w:tr>
    </w:tbl>
    <w:p>
      <w:pPr>
        <w:spacing w:before="300"/>
      </w:pPr>
    </w:p>
    <w:p>
      <w:pPr>
        <w:pBdr>
          <w:top w:val="single" w:color="D4AF37" w:sz="4" w:space="8"/>
          <w:bottom w:val="single" w:color="D4AF37" w:sz="4" w:space="8"/>
        </w:pBdr>
        <w:spacing w:after="200" w:before="200"/>
        <w:jc w:val="center"/>
      </w:pPr>
      <w:r>
        <w:rPr>
          <w:rFonts w:ascii="Arial" w:cs="Arial" w:eastAsia="Arial" w:hAnsi="Arial"/>
          <w:b/>
          <w:bCs/>
          <w:color w:val="0B1D3A"/>
          <w:sz w:val="20"/>
          <w:szCs w:val="20"/>
        </w:rPr>
        <w:t xml:space="preserve">END OF DOCUMENT</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space="4"/>
      </w:pBdr>
      <w:jc w:val="center"/>
    </w:pPr>
    <w:r>
      <w:rPr>
        <w:rFonts w:ascii="Arial" w:cs="Arial" w:eastAsia="Arial" w:hAnsi="Arial"/>
        <w:color w:val="999999"/>
        <w:sz w:val="14"/>
        <w:szCs w:val="14"/>
      </w:rPr>
      <w:t xml:space="preserve">© Barker Scott Ltd  |  barker-scott.co.uk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76250"/>
                  </a:xfrm>
                  <a:prstGeom prst="rect">
                    <a:avLst/>
                  </a:prstGeom>
                </pic:spPr>
              </pic:pic>
            </a:graphicData>
          </a:graphic>
        </wp:inline>
      </w:drawing>
    </w:r>
    <w:r>
      <w:rPr>
        <w:rFonts w:ascii="Arial" w:cs="Arial" w:eastAsia="Arial" w:hAnsi="Arial"/>
        <w:color w:val="5B4A00"/>
        <w:sz w:val="16"/>
        <w:szCs w:val="16"/>
      </w:rPr>
      <w:t xml:space="preserve">  |  Adverse Event Management Policy  |  POL-AC-05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da36e21feb3d2f69d01492dd41e26580fc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eda36e21feb3d2f69d01492dd41e26580fc8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2026-05-15T09:04:37.773Z</dcterms:created>
  <dcterms:modified xsi:type="dcterms:W3CDTF">2026-05-15T09:04:37.773Z</dcterms:modified>
</cp:coreProperties>
</file>

<file path=docProps/custom.xml><?xml version="1.0" encoding="utf-8"?>
<Properties xmlns="http://schemas.openxmlformats.org/officeDocument/2006/custom-properties" xmlns:vt="http://schemas.openxmlformats.org/officeDocument/2006/docPropsVTypes"/>
</file>