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Client Safeguarding Policy</w:t>
      </w:r>
    </w:p>
    <w:p>
      <w:pPr>
        <w:spacing w:after="400"/>
        <w:jc w:val="center"/>
      </w:pPr>
      <w:r>
        <w:rPr>
          <w:rFonts w:ascii="Arial" w:cs="Arial" w:eastAsia="Arial" w:hAnsi="Arial"/>
          <w:b/>
          <w:bCs/>
          <w:color w:val="D4AF37"/>
          <w:sz w:val="20"/>
          <w:szCs w:val="20"/>
        </w:rPr>
        <w:t xml:space="preserve">Care Act 2014  |  Safeguarding Vulnerable Groups Act 2006  |  CQC Regulation 13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POL-AC-06</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staff, practitioners and contractors</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after safeguarding concern, or on legislative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safeguarding all clients from abuse, neglect and exploitation. This policy ensures compliance with the Care Act 2014, the Safeguarding Vulnerable Groups Act 2006 and CQC Regulation 13.</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Care Act 2014</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Section 42 safeguarding duties for adults at risk</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Safeguarding Vulnerable Groups Act 2006</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DBS checks and barred lists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13 — Safeguarding service users from abuse and improper treatment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Mental Capacity Act 2005</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Assessing capacity and best interests decisions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Human Rights Act 1998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Articles 2, 3 and 8 — right to life, freedom from torture, respect for private life</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Equality Act 2010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Protection from discrimination</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Botulinum Toxin and Cosmetic Fillers (Children) Act 2021</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Criminal offence to administer botox or fillers to under-18s for cosmetic purposes</w:t>
            </w:r>
          </w:p>
        </w:tc>
      </w:tr>
    </w:tbl>
    <w:p>
      <w:pPr>
        <w:pBdr>
          <w:bottom w:val="single" w:color="D4AF37" w:sz="2" w:space="4"/>
        </w:pBdr>
        <w:spacing w:after="150" w:before="300"/>
      </w:pPr>
      <w:r>
        <w:rPr>
          <w:rFonts w:ascii="Arial" w:cs="Arial" w:eastAsia="Arial" w:hAnsi="Arial"/>
          <w:b/>
          <w:bCs/>
          <w:color w:val="0B1D3A"/>
          <w:sz w:val="28"/>
          <w:szCs w:val="28"/>
        </w:rPr>
        <w:t xml:space="preserve">3. Scope</w:t>
      </w:r>
    </w:p>
    <w:p>
      <w:pPr>
        <w:spacing w:after="120" w:before="0" w:line="276"/>
      </w:pPr>
      <w:r>
        <w:rPr>
          <w:rFonts w:ascii="Arial" w:cs="Arial" w:eastAsia="Arial" w:hAnsi="Arial"/>
          <w:color w:val="000000"/>
          <w:sz w:val="22"/>
          <w:szCs w:val="22"/>
        </w:rPr>
        <w:t xml:space="preserve">This policy applies to the safeguarding of all clients, including adults at risk. In the aesthetic clinic context, safeguarding concerns may include body dysmorphic disorder, coercion, domestic abuse, financial abuse, exploitation, and vulnerability due to age, disability or mental health conditions.</w:t>
      </w:r>
    </w:p>
    <w:p>
      <w:pPr>
        <w:pBdr>
          <w:bottom w:val="single" w:color="D4AF37" w:sz="2" w:space="4"/>
        </w:pBdr>
        <w:spacing w:after="150" w:before="300"/>
      </w:pPr>
      <w:r>
        <w:rPr>
          <w:rFonts w:ascii="Arial" w:cs="Arial" w:eastAsia="Arial" w:hAnsi="Arial"/>
          <w:b/>
          <w:bCs/>
          <w:color w:val="0B1D3A"/>
          <w:sz w:val="28"/>
          <w:szCs w:val="28"/>
        </w:rPr>
        <w:t xml:space="preserve">4. Identifying Vulnerability</w:t>
      </w:r>
    </w:p>
    <w:p>
      <w:pPr>
        <w:spacing w:after="120" w:before="0" w:line="276"/>
      </w:pPr>
      <w:r>
        <w:rPr>
          <w:rFonts w:ascii="Arial" w:cs="Arial" w:eastAsia="Arial" w:hAnsi="Arial"/>
          <w:color w:val="000000"/>
          <w:sz w:val="22"/>
          <w:szCs w:val="22"/>
        </w:rPr>
        <w:t xml:space="preserve">Staff must be alert to signs that a client may be vulnerable:</w:t>
      </w:r>
    </w:p>
    <w:p>
      <w:pPr>
        <w:pStyle w:val="ListParagraph"/>
        <w:numPr>
          <w:ilvl w:val="0"/>
          <w:numId w:val="2"/>
        </w:numPr>
      </w:pPr>
      <w:r>
        <w:rPr>
          <w:rFonts w:ascii="Arial" w:cs="Arial" w:eastAsia="Arial" w:hAnsi="Arial"/>
          <w:color w:val="000000"/>
          <w:sz w:val="22"/>
          <w:szCs w:val="22"/>
        </w:rPr>
        <w:t xml:space="preserve">Signs of body dysmorphic disorder (BDD) — excessive preoccupation with perceived physical flaws, repeated requests for procedures, unrealistic expectations</w:t>
      </w:r>
    </w:p>
    <w:p>
      <w:pPr>
        <w:pStyle w:val="ListParagraph"/>
        <w:numPr>
          <w:ilvl w:val="0"/>
          <w:numId w:val="2"/>
        </w:numPr>
      </w:pPr>
      <w:r>
        <w:rPr>
          <w:rFonts w:ascii="Arial" w:cs="Arial" w:eastAsia="Arial" w:hAnsi="Arial"/>
          <w:color w:val="000000"/>
          <w:sz w:val="22"/>
          <w:szCs w:val="22"/>
        </w:rPr>
        <w:t xml:space="preserve">Signs of coercion — a third party making decisions, partner/family pressure, client seems anxious or distressed</w:t>
      </w:r>
    </w:p>
    <w:p>
      <w:pPr>
        <w:pStyle w:val="ListParagraph"/>
        <w:numPr>
          <w:ilvl w:val="0"/>
          <w:numId w:val="2"/>
        </w:numPr>
      </w:pPr>
      <w:r>
        <w:rPr>
          <w:rFonts w:ascii="Arial" w:cs="Arial" w:eastAsia="Arial" w:hAnsi="Arial"/>
          <w:color w:val="000000"/>
          <w:sz w:val="22"/>
          <w:szCs w:val="22"/>
        </w:rPr>
        <w:t xml:space="preserve">Signs of domestic abuse — bruising, controlling behaviour by an accompanying person</w:t>
      </w:r>
    </w:p>
    <w:p>
      <w:pPr>
        <w:pStyle w:val="ListParagraph"/>
        <w:numPr>
          <w:ilvl w:val="0"/>
          <w:numId w:val="2"/>
        </w:numPr>
      </w:pPr>
      <w:r>
        <w:rPr>
          <w:rFonts w:ascii="Arial" w:cs="Arial" w:eastAsia="Arial" w:hAnsi="Arial"/>
          <w:color w:val="000000"/>
          <w:sz w:val="22"/>
          <w:szCs w:val="22"/>
        </w:rPr>
        <w:t xml:space="preserve">Signs of financial exploitation — someone else paying, client seems unable to afford treatment but feels pressured</w:t>
      </w:r>
    </w:p>
    <w:p>
      <w:pPr>
        <w:pStyle w:val="ListParagraph"/>
        <w:numPr>
          <w:ilvl w:val="0"/>
          <w:numId w:val="2"/>
        </w:numPr>
      </w:pPr>
      <w:r>
        <w:rPr>
          <w:rFonts w:ascii="Arial" w:cs="Arial" w:eastAsia="Arial" w:hAnsi="Arial"/>
          <w:color w:val="000000"/>
          <w:sz w:val="22"/>
          <w:szCs w:val="22"/>
        </w:rPr>
        <w:t xml:space="preserve">Mental health concerns — significant anxiety, depression, emotional instability</w:t>
      </w:r>
    </w:p>
    <w:p>
      <w:pPr>
        <w:pStyle w:val="ListParagraph"/>
        <w:numPr>
          <w:ilvl w:val="0"/>
          <w:numId w:val="2"/>
        </w:numPr>
      </w:pPr>
      <w:r>
        <w:rPr>
          <w:rFonts w:ascii="Arial" w:cs="Arial" w:eastAsia="Arial" w:hAnsi="Arial"/>
          <w:color w:val="000000"/>
          <w:sz w:val="22"/>
          <w:szCs w:val="22"/>
        </w:rPr>
        <w:t xml:space="preserve">Age-related concerns — very young adults (18–20) who may be more susceptible to social media pressure</w:t>
      </w:r>
    </w:p>
    <w:p>
      <w:pPr>
        <w:pBdr>
          <w:bottom w:val="single" w:color="D4AF37" w:sz="2" w:space="4"/>
        </w:pBdr>
        <w:spacing w:after="150" w:before="300"/>
      </w:pPr>
      <w:r>
        <w:rPr>
          <w:rFonts w:ascii="Arial" w:cs="Arial" w:eastAsia="Arial" w:hAnsi="Arial"/>
          <w:b/>
          <w:bCs/>
          <w:color w:val="0B1D3A"/>
          <w:sz w:val="28"/>
          <w:szCs w:val="28"/>
        </w:rPr>
        <w:t xml:space="preserve">5. Responding to Concerns</w:t>
      </w:r>
    </w:p>
    <w:p>
      <w:pPr>
        <w:spacing w:after="120" w:before="0" w:line="276"/>
      </w:pPr>
      <w:r>
        <w:rPr>
          <w:rFonts w:ascii="Arial" w:cs="Arial" w:eastAsia="Arial" w:hAnsi="Arial"/>
          <w:color w:val="000000"/>
          <w:sz w:val="22"/>
          <w:szCs w:val="22"/>
        </w:rPr>
        <w:t xml:space="preserve">If a safeguarding concern is identified, staff must report to the Designated Safeguarding Lead ([Insert Name], [Insert Title]) immediately. The DSL will assess whether a referral to the local authority Safeguarding Adults Team, police or other agency is required.</w:t>
      </w:r>
    </w:p>
    <w:p>
      <w:pPr>
        <w:pBdr>
          <w:bottom w:val="single" w:color="D4AF37" w:sz="2" w:space="4"/>
        </w:pBdr>
        <w:spacing w:after="150" w:before="300"/>
      </w:pPr>
      <w:r>
        <w:rPr>
          <w:rFonts w:ascii="Arial" w:cs="Arial" w:eastAsia="Arial" w:hAnsi="Arial"/>
          <w:b/>
          <w:bCs/>
          <w:color w:val="0B1D3A"/>
          <w:sz w:val="28"/>
          <w:szCs w:val="28"/>
        </w:rPr>
        <w:t xml:space="preserve">6. Declining to Treat</w:t>
      </w:r>
    </w:p>
    <w:p>
      <w:pPr>
        <w:spacing w:after="120" w:before="0" w:line="276"/>
      </w:pPr>
      <w:r>
        <w:rPr>
          <w:rFonts w:ascii="Arial" w:cs="Arial" w:eastAsia="Arial" w:hAnsi="Arial"/>
          <w:color w:val="000000"/>
          <w:sz w:val="22"/>
          <w:szCs w:val="22"/>
        </w:rPr>
        <w:t xml:space="preserve">Practitioners have a duty to decline treatment where they believe it is not in the client’s best interests. This includes where the client shows signs of BDD, is being coerced, lacks capacity, or has unrealistic expectations. The decision must be documented and communicated compassionately.</w:t>
      </w:r>
    </w:p>
    <w:p>
      <w:pPr>
        <w:pBdr>
          <w:bottom w:val="single" w:color="D4AF37" w:sz="2" w:space="4"/>
        </w:pBdr>
        <w:spacing w:after="150" w:before="300"/>
      </w:pPr>
      <w:r>
        <w:rPr>
          <w:rFonts w:ascii="Arial" w:cs="Arial" w:eastAsia="Arial" w:hAnsi="Arial"/>
          <w:b/>
          <w:bCs/>
          <w:color w:val="0B1D3A"/>
          <w:sz w:val="28"/>
          <w:szCs w:val="28"/>
        </w:rPr>
        <w:t xml:space="preserve">7. Persons Under 18</w:t>
      </w:r>
    </w:p>
    <w:p>
      <w:pPr>
        <w:spacing w:after="120" w:before="0" w:line="276"/>
      </w:pPr>
      <w:r>
        <w:rPr>
          <w:rFonts w:ascii="Arial" w:cs="Arial" w:eastAsia="Arial" w:hAnsi="Arial"/>
          <w:color w:val="000000"/>
          <w:sz w:val="22"/>
          <w:szCs w:val="22"/>
        </w:rPr>
        <w:t xml:space="preserve">Under the Botulinum Toxin and Cosmetic Fillers (Children) Act 2021, it is a criminal offence to administer botulinum toxin or dermal fillers to any person under 18 for cosmetic purposes. Age verification must be carried out for all clients who appear to be under 25.</w:t>
      </w:r>
    </w:p>
    <w:p>
      <w:pPr>
        <w:pBdr>
          <w:bottom w:val="single" w:color="D4AF37" w:sz="2" w:space="4"/>
        </w:pBdr>
        <w:spacing w:after="150" w:before="300"/>
      </w:pPr>
      <w:r>
        <w:rPr>
          <w:rFonts w:ascii="Arial" w:cs="Arial" w:eastAsia="Arial" w:hAnsi="Arial"/>
          <w:b/>
          <w:bCs/>
          <w:color w:val="0B1D3A"/>
          <w:sz w:val="28"/>
          <w:szCs w:val="28"/>
        </w:rPr>
        <w:t xml:space="preserve">8. Training</w:t>
      </w:r>
    </w:p>
    <w:p>
      <w:pPr>
        <w:spacing w:after="120" w:before="0" w:line="276"/>
      </w:pPr>
      <w:r>
        <w:rPr>
          <w:rFonts w:ascii="Arial" w:cs="Arial" w:eastAsia="Arial" w:hAnsi="Arial"/>
          <w:color w:val="000000"/>
          <w:sz w:val="22"/>
          <w:szCs w:val="22"/>
        </w:rPr>
        <w:t xml:space="preserve">All staff must complete safeguarding training at induction and annually. Training must include recognition of BDD, coercion and vulnerability in the aesthetic context.</w:t>
      </w:r>
    </w:p>
    <w:p>
      <w:pPr>
        <w:pBdr>
          <w:bottom w:val="single" w:color="D4AF37" w:sz="2" w:space="4"/>
        </w:pBdr>
        <w:spacing w:after="150" w:before="300"/>
      </w:pPr>
      <w:r>
        <w:rPr>
          <w:rFonts w:ascii="Arial" w:cs="Arial" w:eastAsia="Arial" w:hAnsi="Arial"/>
          <w:b/>
          <w:bCs/>
          <w:color w:val="0B1D3A"/>
          <w:sz w:val="28"/>
          <w:szCs w:val="28"/>
        </w:rPr>
        <w:t xml:space="preserve">9. Responsibilities</w:t>
      </w:r>
    </w:p>
    <w:p>
      <w:pPr>
        <w:spacing w:after="120" w:before="0" w:line="276"/>
      </w:pPr>
      <w:r>
        <w:rPr>
          <w:rFonts w:ascii="Arial" w:cs="Arial" w:eastAsia="Arial" w:hAnsi="Arial"/>
          <w:color w:val="000000"/>
          <w:sz w:val="22"/>
          <w:szCs w:val="22"/>
        </w:rPr>
        <w:t xml:space="preserve">The Designated Safeguarding Lead ([Insert Name]) is responsible for managing safeguarding concerns. All staff are responsible for being alert to signs of vulnerability and reporting concerns.</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Client Safeguarding Policy  |  POL-AC-06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2026-05-15T09:04:37.822Z</dcterms:created>
  <dcterms:modified xsi:type="dcterms:W3CDTF">2026-05-15T09:04:37.822Z</dcterms:modified>
</cp:coreProperties>
</file>

<file path=docProps/custom.xml><?xml version="1.0" encoding="utf-8"?>
<Properties xmlns="http://schemas.openxmlformats.org/officeDocument/2006/custom-properties" xmlns:vt="http://schemas.openxmlformats.org/officeDocument/2006/docPropsVTypes"/>
</file>