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drawing>
          <wp:inline distT="0" distB="0" distL="0" distR="0">
            <wp:extent cx="33337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838200"/>
                    </a:xfrm>
                    <a:prstGeom prst="rect">
                      <a:avLst/>
                    </a:prstGeom>
                  </pic:spPr>
                </pic:pic>
              </a:graphicData>
            </a:graphic>
          </wp:inline>
        </w:drawing>
      </w:r>
    </w:p>
    <w:p>
      <w:pPr>
        <w:spacing w:before="600"/>
      </w:pPr>
    </w:p>
    <w:p>
      <w:pPr>
        <w:spacing w:after="200"/>
        <w:jc w:val="center"/>
      </w:pPr>
      <w:r>
        <w:rPr>
          <w:rFonts w:ascii="Arial" w:cs="Arial" w:eastAsia="Arial" w:hAnsi="Arial"/>
          <w:b/>
          <w:bCs/>
          <w:color w:val="0B1D3A"/>
          <w:sz w:val="48"/>
          <w:szCs w:val="48"/>
        </w:rPr>
        <w:t xml:space="preserve">Consent &amp; Risk Disclosure Policy</w:t>
      </w:r>
    </w:p>
    <w:p>
      <w:pPr>
        <w:spacing w:after="400"/>
        <w:jc w:val="center"/>
      </w:pPr>
      <w:r>
        <w:rPr>
          <w:rFonts w:ascii="Arial" w:cs="Arial" w:eastAsia="Arial" w:hAnsi="Arial"/>
          <w:b/>
          <w:bCs/>
          <w:color w:val="D4AF37"/>
          <w:sz w:val="20"/>
          <w:szCs w:val="20"/>
        </w:rPr>
        <w:t xml:space="preserve">Health and Social Care Act 2008  |  Mental Capacity Act 2005  |  CQC Regulation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Document Reference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Date</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POL-AC-01</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1.0</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Date + 12 months]</w:t>
            </w:r>
          </w:p>
        </w:tc>
      </w:tr>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Organisation</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Applies To</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Trigger</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Organisation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All practitioners, clinical staff and reception staff</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Name], [Insert Title]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Annually, on regulatory change, or after complaint/incident</w:t>
            </w:r>
          </w:p>
        </w:tc>
      </w:tr>
    </w:tbl>
    <w:p>
      <w:pPr>
        <w:spacing w:before="300"/>
      </w:pPr>
    </w:p>
    <w:p>
      <w:pPr>
        <w:spacing w:after="120" w:before="0" w:line="276"/>
        <w:jc w:val="center"/>
      </w:pPr>
      <w:r>
        <w:rPr>
          <w:rFonts w:ascii="Arial" w:cs="Arial" w:eastAsia="Arial" w:hAnsi="Arial"/>
          <w:b/>
          <w:bCs/>
          <w:color w:val="0B1D3A"/>
          <w:sz w:val="20"/>
          <w:szCs w:val="20"/>
        </w:rPr>
        <w:t xml:space="preserve">CONFIDENTIALITY NOTICE</w:t>
      </w:r>
    </w:p>
    <w:p>
      <w:pPr>
        <w:spacing w:after="120" w:before="0" w:line="276"/>
        <w:jc w:val="center"/>
      </w:pPr>
      <w:r>
        <w:rPr>
          <w:rFonts w:ascii="Arial" w:cs="Arial" w:eastAsia="Arial" w:hAnsi="Arial"/>
          <w:color w:val="000000"/>
          <w:sz w:val="22"/>
          <w:szCs w:val="22"/>
        </w:rPr>
        <w:t xml:space="preserve">This document and the information contained therein is the property of [Insert Organisation Name]. It must not be reproduced or disclosed without prior written consent.</w:t>
      </w:r>
    </w:p>
    <w:p>
      <w:r>
        <w:br w:type="page"/>
      </w:r>
    </w:p>
    <w:p>
      <w:pPr>
        <w:pBdr>
          <w:bottom w:val="single" w:color="D4AF37" w:sz="2" w:space="4"/>
        </w:pBdr>
        <w:spacing w:after="150" w:before="300"/>
      </w:pPr>
      <w:r>
        <w:rPr>
          <w:rFonts w:ascii="Arial" w:cs="Arial" w:eastAsia="Arial" w:hAnsi="Arial"/>
          <w:b/>
          <w:bCs/>
          <w:color w:val="0B1D3A"/>
          <w:sz w:val="28"/>
          <w:szCs w:val="28"/>
        </w:rPr>
        <w:t xml:space="preserve">1. Introduction and Purpose</w:t>
      </w:r>
    </w:p>
    <w:p>
      <w:pPr>
        <w:spacing w:after="120" w:before="0" w:line="276"/>
      </w:pPr>
      <w:r>
        <w:rPr>
          <w:rFonts w:ascii="Arial" w:cs="Arial" w:eastAsia="Arial" w:hAnsi="Arial"/>
          <w:color w:val="000000"/>
          <w:sz w:val="22"/>
          <w:szCs w:val="22"/>
        </w:rPr>
        <w:t xml:space="preserve">[Insert Organisation Name] is committed to ensuring that all clients provide valid informed consent before any aesthetic procedure is carried out. This policy sets out the organisation’s approach to obtaining, recording and managing consent in compliance with the Health and Social Care Act 2008, the Mental Capacity Act 2005 and CQC Fundamental Standards.</w:t>
      </w:r>
    </w:p>
    <w:p>
      <w:pPr>
        <w:spacing w:after="120" w:before="0" w:line="276"/>
      </w:pPr>
      <w:r>
        <w:rPr>
          <w:rFonts w:ascii="Arial" w:cs="Arial" w:eastAsia="Arial" w:hAnsi="Arial"/>
          <w:color w:val="000000"/>
          <w:sz w:val="22"/>
          <w:szCs w:val="22"/>
        </w:rPr>
        <w:t xml:space="preserve">The purpose of this policy is to:</w:t>
      </w:r>
    </w:p>
    <w:p>
      <w:pPr>
        <w:pStyle w:val="ListParagraph"/>
        <w:numPr>
          <w:ilvl w:val="0"/>
          <w:numId w:val="2"/>
        </w:numPr>
      </w:pPr>
      <w:r>
        <w:rPr>
          <w:rFonts w:ascii="Arial" w:cs="Arial" w:eastAsia="Arial" w:hAnsi="Arial"/>
          <w:color w:val="000000"/>
          <w:sz w:val="22"/>
          <w:szCs w:val="22"/>
        </w:rPr>
        <w:t xml:space="preserve">Ensure that all clients receive sufficient information to make an informed decision about treatment</w:t>
      </w:r>
    </w:p>
    <w:p>
      <w:pPr>
        <w:pStyle w:val="ListParagraph"/>
        <w:numPr>
          <w:ilvl w:val="0"/>
          <w:numId w:val="2"/>
        </w:numPr>
      </w:pPr>
      <w:r>
        <w:rPr>
          <w:rFonts w:ascii="Arial" w:cs="Arial" w:eastAsia="Arial" w:hAnsi="Arial"/>
          <w:color w:val="000000"/>
          <w:sz w:val="22"/>
          <w:szCs w:val="22"/>
        </w:rPr>
        <w:t xml:space="preserve">Ensure that consent is freely given, specific and informed</w:t>
      </w:r>
    </w:p>
    <w:p>
      <w:pPr>
        <w:pStyle w:val="ListParagraph"/>
        <w:numPr>
          <w:ilvl w:val="0"/>
          <w:numId w:val="2"/>
        </w:numPr>
      </w:pPr>
      <w:r>
        <w:rPr>
          <w:rFonts w:ascii="Arial" w:cs="Arial" w:eastAsia="Arial" w:hAnsi="Arial"/>
          <w:color w:val="000000"/>
          <w:sz w:val="22"/>
          <w:szCs w:val="22"/>
        </w:rPr>
        <w:t xml:space="preserve">Ensure that the risks, benefits, alternatives and expected outcomes of all procedures are clearly communicated</w:t>
      </w:r>
    </w:p>
    <w:p>
      <w:pPr>
        <w:pStyle w:val="ListParagraph"/>
        <w:numPr>
          <w:ilvl w:val="0"/>
          <w:numId w:val="2"/>
        </w:numPr>
      </w:pPr>
      <w:r>
        <w:rPr>
          <w:rFonts w:ascii="Arial" w:cs="Arial" w:eastAsia="Arial" w:hAnsi="Arial"/>
          <w:color w:val="000000"/>
          <w:sz w:val="22"/>
          <w:szCs w:val="22"/>
        </w:rPr>
        <w:t xml:space="preserve">Ensure that clients have adequate cooling-off periods before undergoing irreversible or high-risk procedures</w:t>
      </w:r>
    </w:p>
    <w:p>
      <w:pPr>
        <w:pStyle w:val="ListParagraph"/>
        <w:numPr>
          <w:ilvl w:val="0"/>
          <w:numId w:val="2"/>
        </w:numPr>
      </w:pPr>
      <w:r>
        <w:rPr>
          <w:rFonts w:ascii="Arial" w:cs="Arial" w:eastAsia="Arial" w:hAnsi="Arial"/>
          <w:color w:val="000000"/>
          <w:sz w:val="22"/>
          <w:szCs w:val="22"/>
        </w:rPr>
        <w:t xml:space="preserve">Comply with CQC Regulation 11 (Need for consent) and Regulation 12 (Safe care and treatment)</w:t>
      </w:r>
    </w:p>
    <w:p>
      <w:pPr>
        <w:pStyle w:val="ListParagraph"/>
        <w:numPr>
          <w:ilvl w:val="0"/>
          <w:numId w:val="2"/>
        </w:numPr>
      </w:pPr>
      <w:r>
        <w:rPr>
          <w:rFonts w:ascii="Arial" w:cs="Arial" w:eastAsia="Arial" w:hAnsi="Arial"/>
          <w:color w:val="000000"/>
          <w:sz w:val="22"/>
          <w:szCs w:val="22"/>
        </w:rPr>
        <w:t xml:space="preserve">Ensure that the Mental Capacity Act 2005 principles are applied where a client’s capacity to consent is in question</w:t>
      </w:r>
    </w:p>
    <w:p>
      <w:pPr>
        <w:pBdr>
          <w:bottom w:val="single" w:color="D4AF37" w:sz="2" w:space="4"/>
        </w:pBdr>
        <w:spacing w:after="150" w:before="300"/>
      </w:pPr>
      <w:r>
        <w:rPr>
          <w:rFonts w:ascii="Arial" w:cs="Arial" w:eastAsia="Arial" w:hAnsi="Arial"/>
          <w:b/>
          <w:bCs/>
          <w:color w:val="0B1D3A"/>
          <w:sz w:val="28"/>
          <w:szCs w:val="28"/>
        </w:rPr>
        <w:t xml:space="preserve">2. Legal Framework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Legislation / Guidance</w:t>
            </w:r>
          </w:p>
        </w:tc>
        <w:tc>
          <w:tcPr>
            <w:tcW w:type="dxa" w:w="4753"/>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Requirement</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Health and Social Care Act 2008 (Regulated Activities) Regulations 2014</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Regulation 11 requires that care and treatment is only provided with the consent of the relevant person. Regulation 12 requires safe care and treatment.</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Mental Capacity Act 2005</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Establishes the legal framework for assessing capacity and making best interests decisions. The five statutory principles must be followed.</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Human Rights Act 1998</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Article 8 protects the right to respect for private life, including the right to make decisions about one’s own body.</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Consumer Rights Act 2015</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Requires that services are performed with reasonable care and skill. Clients must be given accurate information about treatments.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Equality Act 2010</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Requires reasonable adjustments for disabled persons, including provision of information in accessible formats.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Data Protection Act 2018 / UK GDPR</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Consent records constitute special category personal data and must be processed and stored in accordance with data protection law.</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JCCP / HEE / ASA Guidelines</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Joint Council of Cosmetic Practitioners and other professional bodies provide guidance on consent, cooling-off periods and client selection.</w:t>
            </w:r>
          </w:p>
        </w:tc>
      </w:tr>
    </w:tbl>
    <w:p>
      <w:pPr>
        <w:pBdr>
          <w:bottom w:val="single" w:color="D4AF37" w:sz="2" w:space="4"/>
        </w:pBdr>
        <w:spacing w:after="150" w:before="300"/>
      </w:pPr>
      <w:r>
        <w:rPr>
          <w:rFonts w:ascii="Arial" w:cs="Arial" w:eastAsia="Arial" w:hAnsi="Arial"/>
          <w:b/>
          <w:bCs/>
          <w:color w:val="0B1D3A"/>
          <w:sz w:val="28"/>
          <w:szCs w:val="28"/>
        </w:rPr>
        <w:t xml:space="preserve">3. Scope</w:t>
      </w:r>
    </w:p>
    <w:p>
      <w:pPr>
        <w:spacing w:after="120" w:before="0" w:line="276"/>
      </w:pPr>
      <w:r>
        <w:rPr>
          <w:rFonts w:ascii="Arial" w:cs="Arial" w:eastAsia="Arial" w:hAnsi="Arial"/>
          <w:color w:val="000000"/>
          <w:sz w:val="22"/>
          <w:szCs w:val="22"/>
        </w:rPr>
        <w:t xml:space="preserve">This policy applies to all aesthetic procedures carried out by [Insert Organisation Name], including but not limited to dermal fillers, botulinum toxin injections, chemical peels, microneedling, laser treatments, thread lifts and any other invasive or non-invasive aesthetic procedure.</w:t>
      </w:r>
    </w:p>
    <w:p>
      <w:pPr>
        <w:pBdr>
          <w:bottom w:val="single" w:color="D4AF37" w:sz="2" w:space="4"/>
        </w:pBdr>
        <w:spacing w:after="150" w:before="300"/>
      </w:pPr>
      <w:r>
        <w:rPr>
          <w:rFonts w:ascii="Arial" w:cs="Arial" w:eastAsia="Arial" w:hAnsi="Arial"/>
          <w:b/>
          <w:bCs/>
          <w:color w:val="0B1D3A"/>
          <w:sz w:val="28"/>
          <w:szCs w:val="28"/>
        </w:rPr>
        <w:t xml:space="preserve">4. Principles of Valid Consent</w:t>
      </w:r>
    </w:p>
    <w:p>
      <w:pPr>
        <w:spacing w:after="120" w:before="0" w:line="276"/>
      </w:pPr>
      <w:r>
        <w:rPr>
          <w:rFonts w:ascii="Arial" w:cs="Arial" w:eastAsia="Arial" w:hAnsi="Arial"/>
          <w:color w:val="000000"/>
          <w:sz w:val="22"/>
          <w:szCs w:val="22"/>
        </w:rPr>
        <w:t xml:space="preserve">For consent to be valid, the following conditions must be met:</w:t>
      </w:r>
    </w:p>
    <w:p>
      <w:pPr>
        <w:pStyle w:val="ListParagraph"/>
        <w:numPr>
          <w:ilvl w:val="0"/>
          <w:numId w:val="3"/>
        </w:numPr>
      </w:pPr>
      <w:r>
        <w:rPr>
          <w:rFonts w:ascii="Arial" w:cs="Arial" w:eastAsia="Arial" w:hAnsi="Arial"/>
          <w:color w:val="000000"/>
          <w:sz w:val="22"/>
          <w:szCs w:val="22"/>
        </w:rPr>
        <w:t xml:space="preserve">The client must have the capacity to make the decision (Mental Capacity Act 2005, Section 2)</w:t>
      </w:r>
    </w:p>
    <w:p>
      <w:pPr>
        <w:pStyle w:val="ListParagraph"/>
        <w:numPr>
          <w:ilvl w:val="0"/>
          <w:numId w:val="3"/>
        </w:numPr>
      </w:pPr>
      <w:r>
        <w:rPr>
          <w:rFonts w:ascii="Arial" w:cs="Arial" w:eastAsia="Arial" w:hAnsi="Arial"/>
          <w:color w:val="000000"/>
          <w:sz w:val="22"/>
          <w:szCs w:val="22"/>
        </w:rPr>
        <w:t xml:space="preserve">The client must have received sufficient information to make an informed choice, including the nature of the procedure, expected outcomes, risks, side effects, alternatives and the option of no treatment</w:t>
      </w:r>
    </w:p>
    <w:p>
      <w:pPr>
        <w:pStyle w:val="ListParagraph"/>
        <w:numPr>
          <w:ilvl w:val="0"/>
          <w:numId w:val="3"/>
        </w:numPr>
      </w:pPr>
      <w:r>
        <w:rPr>
          <w:rFonts w:ascii="Arial" w:cs="Arial" w:eastAsia="Arial" w:hAnsi="Arial"/>
          <w:color w:val="000000"/>
          <w:sz w:val="22"/>
          <w:szCs w:val="22"/>
        </w:rPr>
        <w:t xml:space="preserve">Consent must be given voluntarily, without duress, undue influence or pressure</w:t>
      </w:r>
    </w:p>
    <w:p>
      <w:pPr>
        <w:pStyle w:val="ListParagraph"/>
        <w:numPr>
          <w:ilvl w:val="0"/>
          <w:numId w:val="3"/>
        </w:numPr>
      </w:pPr>
      <w:r>
        <w:rPr>
          <w:rFonts w:ascii="Arial" w:cs="Arial" w:eastAsia="Arial" w:hAnsi="Arial"/>
          <w:color w:val="000000"/>
          <w:sz w:val="22"/>
          <w:szCs w:val="22"/>
        </w:rPr>
        <w:t xml:space="preserve">Consent must be specific to the procedure being carried out</w:t>
      </w:r>
    </w:p>
    <w:p>
      <w:pPr>
        <w:pStyle w:val="ListParagraph"/>
        <w:numPr>
          <w:ilvl w:val="0"/>
          <w:numId w:val="3"/>
        </w:numPr>
      </w:pPr>
      <w:r>
        <w:rPr>
          <w:rFonts w:ascii="Arial" w:cs="Arial" w:eastAsia="Arial" w:hAnsi="Arial"/>
          <w:color w:val="000000"/>
          <w:sz w:val="22"/>
          <w:szCs w:val="22"/>
        </w:rPr>
        <w:t xml:space="preserve">The client must be given adequate time to consider the information — a minimum cooling-off period of 48 hours is recommended for injectable treatments and 14 days for surgical procedures</w:t>
      </w:r>
    </w:p>
    <w:p>
      <w:pPr>
        <w:pStyle w:val="ListParagraph"/>
        <w:numPr>
          <w:ilvl w:val="0"/>
          <w:numId w:val="3"/>
        </w:numPr>
      </w:pPr>
      <w:r>
        <w:rPr>
          <w:rFonts w:ascii="Arial" w:cs="Arial" w:eastAsia="Arial" w:hAnsi="Arial"/>
          <w:color w:val="000000"/>
          <w:sz w:val="22"/>
          <w:szCs w:val="22"/>
        </w:rPr>
        <w:t xml:space="preserve">Consent must be documented on a written consent form signed by the client and the practitioner</w:t>
      </w:r>
    </w:p>
    <w:p>
      <w:pPr>
        <w:pBdr>
          <w:bottom w:val="single" w:color="D4AF37" w:sz="2" w:space="4"/>
        </w:pBdr>
        <w:spacing w:after="150" w:before="300"/>
      </w:pPr>
      <w:r>
        <w:rPr>
          <w:rFonts w:ascii="Arial" w:cs="Arial" w:eastAsia="Arial" w:hAnsi="Arial"/>
          <w:b/>
          <w:bCs/>
          <w:color w:val="0B1D3A"/>
          <w:sz w:val="28"/>
          <w:szCs w:val="28"/>
        </w:rPr>
        <w:t xml:space="preserve">5. Cooling-Off Periods</w:t>
      </w:r>
    </w:p>
    <w:p>
      <w:pPr>
        <w:spacing w:after="120" w:before="0" w:line="276"/>
      </w:pPr>
      <w:r>
        <w:rPr>
          <w:rFonts w:ascii="Arial" w:cs="Arial" w:eastAsia="Arial" w:hAnsi="Arial"/>
          <w:color w:val="000000"/>
          <w:sz w:val="22"/>
          <w:szCs w:val="22"/>
        </w:rPr>
        <w:t xml:space="preserve">In accordance with professional guidance from the Joint Council of Cosmetic Practitioners (JCCP) and the Cosmetic Practice Standards Authority:</w:t>
      </w:r>
    </w:p>
    <w:p>
      <w:pPr>
        <w:pStyle w:val="ListParagraph"/>
        <w:numPr>
          <w:ilvl w:val="0"/>
          <w:numId w:val="4"/>
        </w:numPr>
      </w:pPr>
      <w:r>
        <w:rPr>
          <w:rFonts w:ascii="Arial" w:cs="Arial" w:eastAsia="Arial" w:hAnsi="Arial"/>
          <w:color w:val="000000"/>
          <w:sz w:val="22"/>
          <w:szCs w:val="22"/>
        </w:rPr>
        <w:t xml:space="preserve">A minimum cooling-off period of 48 hours must be observed between the consultation and the procedure for all injectable treatments (dermal fillers, botulinum toxin)</w:t>
      </w:r>
    </w:p>
    <w:p>
      <w:pPr>
        <w:pStyle w:val="ListParagraph"/>
        <w:numPr>
          <w:ilvl w:val="0"/>
          <w:numId w:val="4"/>
        </w:numPr>
      </w:pPr>
      <w:r>
        <w:rPr>
          <w:rFonts w:ascii="Arial" w:cs="Arial" w:eastAsia="Arial" w:hAnsi="Arial"/>
          <w:color w:val="000000"/>
          <w:sz w:val="22"/>
          <w:szCs w:val="22"/>
        </w:rPr>
        <w:t xml:space="preserve">A minimum cooling-off period of 14 days is recommended for surgical or irreversible procedures</w:t>
      </w:r>
    </w:p>
    <w:p>
      <w:pPr>
        <w:pStyle w:val="ListParagraph"/>
        <w:numPr>
          <w:ilvl w:val="0"/>
          <w:numId w:val="4"/>
        </w:numPr>
      </w:pPr>
      <w:r>
        <w:rPr>
          <w:rFonts w:ascii="Arial" w:cs="Arial" w:eastAsia="Arial" w:hAnsi="Arial"/>
          <w:color w:val="000000"/>
          <w:sz w:val="22"/>
          <w:szCs w:val="22"/>
        </w:rPr>
        <w:t xml:space="preserve">During the cooling-off period, the client must not be contacted by the clinic to encourage them to proceed</w:t>
      </w:r>
    </w:p>
    <w:p>
      <w:pPr>
        <w:pStyle w:val="ListParagraph"/>
        <w:numPr>
          <w:ilvl w:val="0"/>
          <w:numId w:val="4"/>
        </w:numPr>
      </w:pPr>
      <w:r>
        <w:rPr>
          <w:rFonts w:ascii="Arial" w:cs="Arial" w:eastAsia="Arial" w:hAnsi="Arial"/>
          <w:color w:val="000000"/>
          <w:sz w:val="22"/>
          <w:szCs w:val="22"/>
        </w:rPr>
        <w:t xml:space="preserve">The client may waive the cooling-off period in writing, but only in exceptional circumstances and with the approval of the clinical lead</w:t>
      </w:r>
    </w:p>
    <w:p>
      <w:pPr>
        <w:pBdr>
          <w:bottom w:val="single" w:color="D4AF37" w:sz="2" w:space="4"/>
        </w:pBdr>
        <w:spacing w:after="150" w:before="300"/>
      </w:pPr>
      <w:r>
        <w:rPr>
          <w:rFonts w:ascii="Arial" w:cs="Arial" w:eastAsia="Arial" w:hAnsi="Arial"/>
          <w:b/>
          <w:bCs/>
          <w:color w:val="0B1D3A"/>
          <w:sz w:val="28"/>
          <w:szCs w:val="28"/>
        </w:rPr>
        <w:t xml:space="preserve">6. Risk Disclosure</w:t>
      </w:r>
    </w:p>
    <w:p>
      <w:pPr>
        <w:spacing w:after="120" w:before="0" w:line="276"/>
      </w:pPr>
      <w:r>
        <w:rPr>
          <w:rFonts w:ascii="Arial" w:cs="Arial" w:eastAsia="Arial" w:hAnsi="Arial"/>
          <w:color w:val="000000"/>
          <w:sz w:val="22"/>
          <w:szCs w:val="22"/>
        </w:rPr>
        <w:t xml:space="preserve">The practitioner must disclose all material risks to the client before obtaining consent. A material risk is one that a reasonable person in the client’s position would attach significance to, or one that the practitioner is or should reasonably be aware that the particular client would attach significance to (Montgomery v Lanarkshire Health Board [2015] UKSC 11).</w:t>
      </w:r>
    </w:p>
    <w:p>
      <w:pPr>
        <w:spacing w:after="120" w:before="0" w:line="276"/>
      </w:pPr>
      <w:r>
        <w:rPr>
          <w:rFonts w:ascii="Arial" w:cs="Arial" w:eastAsia="Arial" w:hAnsi="Arial"/>
          <w:color w:val="000000"/>
          <w:sz w:val="22"/>
          <w:szCs w:val="22"/>
        </w:rPr>
        <w:t xml:space="preserve">The following must be disclosed:</w:t>
      </w:r>
    </w:p>
    <w:p>
      <w:pPr>
        <w:pStyle w:val="ListParagraph"/>
        <w:numPr>
          <w:ilvl w:val="0"/>
          <w:numId w:val="5"/>
        </w:numPr>
      </w:pPr>
      <w:r>
        <w:rPr>
          <w:rFonts w:ascii="Arial" w:cs="Arial" w:eastAsia="Arial" w:hAnsi="Arial"/>
          <w:color w:val="000000"/>
          <w:sz w:val="22"/>
          <w:szCs w:val="22"/>
        </w:rPr>
        <w:t xml:space="preserve">The nature and purpose of the proposed procedure</w:t>
      </w:r>
    </w:p>
    <w:p>
      <w:pPr>
        <w:pStyle w:val="ListParagraph"/>
        <w:numPr>
          <w:ilvl w:val="0"/>
          <w:numId w:val="5"/>
        </w:numPr>
      </w:pPr>
      <w:r>
        <w:rPr>
          <w:rFonts w:ascii="Arial" w:cs="Arial" w:eastAsia="Arial" w:hAnsi="Arial"/>
          <w:color w:val="000000"/>
          <w:sz w:val="22"/>
          <w:szCs w:val="22"/>
        </w:rPr>
        <w:t xml:space="preserve">Expected outcomes and realistic expectations</w:t>
      </w:r>
    </w:p>
    <w:p>
      <w:pPr>
        <w:pStyle w:val="ListParagraph"/>
        <w:numPr>
          <w:ilvl w:val="0"/>
          <w:numId w:val="5"/>
        </w:numPr>
      </w:pPr>
      <w:r>
        <w:rPr>
          <w:rFonts w:ascii="Arial" w:cs="Arial" w:eastAsia="Arial" w:hAnsi="Arial"/>
          <w:color w:val="000000"/>
          <w:sz w:val="22"/>
          <w:szCs w:val="22"/>
        </w:rPr>
        <w:t xml:space="preserve">Common side effects (e.g. swelling, bruising, redness)</w:t>
      </w:r>
    </w:p>
    <w:p>
      <w:pPr>
        <w:pStyle w:val="ListParagraph"/>
        <w:numPr>
          <w:ilvl w:val="0"/>
          <w:numId w:val="5"/>
        </w:numPr>
      </w:pPr>
      <w:r>
        <w:rPr>
          <w:rFonts w:ascii="Arial" w:cs="Arial" w:eastAsia="Arial" w:hAnsi="Arial"/>
          <w:color w:val="000000"/>
          <w:sz w:val="22"/>
          <w:szCs w:val="22"/>
        </w:rPr>
        <w:t xml:space="preserve">Rare but serious risks (e.g. vascular occlusion, blindness, tissue necrosis for filler procedures)</w:t>
      </w:r>
    </w:p>
    <w:p>
      <w:pPr>
        <w:pStyle w:val="ListParagraph"/>
        <w:numPr>
          <w:ilvl w:val="0"/>
          <w:numId w:val="5"/>
        </w:numPr>
      </w:pPr>
      <w:r>
        <w:rPr>
          <w:rFonts w:ascii="Arial" w:cs="Arial" w:eastAsia="Arial" w:hAnsi="Arial"/>
          <w:color w:val="000000"/>
          <w:sz w:val="22"/>
          <w:szCs w:val="22"/>
        </w:rPr>
        <w:t xml:space="preserve">Alternative treatments and the option of no treatment</w:t>
      </w:r>
    </w:p>
    <w:p>
      <w:pPr>
        <w:pStyle w:val="ListParagraph"/>
        <w:numPr>
          <w:ilvl w:val="0"/>
          <w:numId w:val="5"/>
        </w:numPr>
      </w:pPr>
      <w:r>
        <w:rPr>
          <w:rFonts w:ascii="Arial" w:cs="Arial" w:eastAsia="Arial" w:hAnsi="Arial"/>
          <w:color w:val="000000"/>
          <w:sz w:val="22"/>
          <w:szCs w:val="22"/>
        </w:rPr>
        <w:t xml:space="preserve">The practitioner’s qualifications and experience</w:t>
      </w:r>
    </w:p>
    <w:p>
      <w:pPr>
        <w:pStyle w:val="ListParagraph"/>
        <w:numPr>
          <w:ilvl w:val="0"/>
          <w:numId w:val="5"/>
        </w:numPr>
      </w:pPr>
      <w:r>
        <w:rPr>
          <w:rFonts w:ascii="Arial" w:cs="Arial" w:eastAsia="Arial" w:hAnsi="Arial"/>
          <w:color w:val="000000"/>
          <w:sz w:val="22"/>
          <w:szCs w:val="22"/>
        </w:rPr>
        <w:t xml:space="preserve">Aftercare requirements and what to do if complications arise</w:t>
      </w:r>
    </w:p>
    <w:p>
      <w:pPr>
        <w:pStyle w:val="ListParagraph"/>
        <w:numPr>
          <w:ilvl w:val="0"/>
          <w:numId w:val="5"/>
        </w:numPr>
      </w:pPr>
      <w:r>
        <w:rPr>
          <w:rFonts w:ascii="Arial" w:cs="Arial" w:eastAsia="Arial" w:hAnsi="Arial"/>
          <w:color w:val="000000"/>
          <w:sz w:val="22"/>
          <w:szCs w:val="22"/>
        </w:rPr>
        <w:t xml:space="preserve">The organisation’s complaints procedure</w:t>
      </w:r>
    </w:p>
    <w:p>
      <w:pPr>
        <w:pBdr>
          <w:bottom w:val="single" w:color="D4AF37" w:sz="2" w:space="4"/>
        </w:pBdr>
        <w:spacing w:after="150" w:before="300"/>
      </w:pPr>
      <w:r>
        <w:rPr>
          <w:rFonts w:ascii="Arial" w:cs="Arial" w:eastAsia="Arial" w:hAnsi="Arial"/>
          <w:b/>
          <w:bCs/>
          <w:color w:val="0B1D3A"/>
          <w:sz w:val="28"/>
          <w:szCs w:val="28"/>
        </w:rPr>
        <w:t xml:space="preserve">7. Assessing Capacity</w:t>
      </w:r>
    </w:p>
    <w:p>
      <w:pPr>
        <w:spacing w:after="120" w:before="0" w:line="276"/>
      </w:pPr>
      <w:r>
        <w:rPr>
          <w:rFonts w:ascii="Arial" w:cs="Arial" w:eastAsia="Arial" w:hAnsi="Arial"/>
          <w:color w:val="000000"/>
          <w:sz w:val="22"/>
          <w:szCs w:val="22"/>
        </w:rPr>
        <w:t xml:space="preserve">In accordance with the Mental Capacity Act 2005, a person is presumed to have capacity unless it is established otherwise. If there is reason to doubt a client’s capacity, the practitioner must assess whether the client can:</w:t>
      </w:r>
    </w:p>
    <w:p>
      <w:pPr>
        <w:pStyle w:val="ListParagraph"/>
        <w:numPr>
          <w:ilvl w:val="0"/>
          <w:numId w:val="6"/>
        </w:numPr>
      </w:pPr>
      <w:r>
        <w:rPr>
          <w:rFonts w:ascii="Arial" w:cs="Arial" w:eastAsia="Arial" w:hAnsi="Arial"/>
          <w:color w:val="000000"/>
          <w:sz w:val="22"/>
          <w:szCs w:val="22"/>
        </w:rPr>
        <w:t xml:space="preserve">Understand the information relevant to the decision</w:t>
      </w:r>
    </w:p>
    <w:p>
      <w:pPr>
        <w:pStyle w:val="ListParagraph"/>
        <w:numPr>
          <w:ilvl w:val="0"/>
          <w:numId w:val="6"/>
        </w:numPr>
      </w:pPr>
      <w:r>
        <w:rPr>
          <w:rFonts w:ascii="Arial" w:cs="Arial" w:eastAsia="Arial" w:hAnsi="Arial"/>
          <w:color w:val="000000"/>
          <w:sz w:val="22"/>
          <w:szCs w:val="22"/>
        </w:rPr>
        <w:t xml:space="preserve">Retain that information long enough to make the decision</w:t>
      </w:r>
    </w:p>
    <w:p>
      <w:pPr>
        <w:pStyle w:val="ListParagraph"/>
        <w:numPr>
          <w:ilvl w:val="0"/>
          <w:numId w:val="6"/>
        </w:numPr>
      </w:pPr>
      <w:r>
        <w:rPr>
          <w:rFonts w:ascii="Arial" w:cs="Arial" w:eastAsia="Arial" w:hAnsi="Arial"/>
          <w:color w:val="000000"/>
          <w:sz w:val="22"/>
          <w:szCs w:val="22"/>
        </w:rPr>
        <w:t xml:space="preserve">Use or weigh that information as part of the decision-making process</w:t>
      </w:r>
    </w:p>
    <w:p>
      <w:pPr>
        <w:pStyle w:val="ListParagraph"/>
        <w:numPr>
          <w:ilvl w:val="0"/>
          <w:numId w:val="6"/>
        </w:numPr>
      </w:pPr>
      <w:r>
        <w:rPr>
          <w:rFonts w:ascii="Arial" w:cs="Arial" w:eastAsia="Arial" w:hAnsi="Arial"/>
          <w:color w:val="000000"/>
          <w:sz w:val="22"/>
          <w:szCs w:val="22"/>
        </w:rPr>
        <w:t xml:space="preserve">Communicate the decision (by any means)</w:t>
      </w:r>
    </w:p>
    <w:p>
      <w:pPr>
        <w:spacing w:after="120" w:before="0" w:line="276"/>
      </w:pPr>
      <w:r>
        <w:rPr>
          <w:rFonts w:ascii="Arial" w:cs="Arial" w:eastAsia="Arial" w:hAnsi="Arial"/>
          <w:color w:val="000000"/>
          <w:sz w:val="22"/>
          <w:szCs w:val="22"/>
        </w:rPr>
        <w:t xml:space="preserve">If a client lacks capacity to consent, the procedure must not be carried out unless it is in the client’s best interests and authorised by law.</w:t>
      </w:r>
    </w:p>
    <w:p>
      <w:pPr>
        <w:pBdr>
          <w:bottom w:val="single" w:color="D4AF37" w:sz="2" w:space="4"/>
        </w:pBdr>
        <w:spacing w:after="150" w:before="300"/>
      </w:pPr>
      <w:r>
        <w:rPr>
          <w:rFonts w:ascii="Arial" w:cs="Arial" w:eastAsia="Arial" w:hAnsi="Arial"/>
          <w:b/>
          <w:bCs/>
          <w:color w:val="0B1D3A"/>
          <w:sz w:val="28"/>
          <w:szCs w:val="28"/>
        </w:rPr>
        <w:t xml:space="preserve">8. Clients Under 18</w:t>
      </w:r>
    </w:p>
    <w:p>
      <w:pPr>
        <w:spacing w:after="120" w:before="0" w:line="276"/>
      </w:pPr>
      <w:r>
        <w:rPr>
          <w:rFonts w:ascii="Arial" w:cs="Arial" w:eastAsia="Arial" w:hAnsi="Arial"/>
          <w:color w:val="000000"/>
          <w:sz w:val="22"/>
          <w:szCs w:val="22"/>
        </w:rPr>
        <w:t xml:space="preserve">In accordance with the Botulinum Toxin and Cosmetic Fillers (Children) Act 2021, it is a criminal offence to administer botulinum toxin or a filler by way of injection to a person under 18 for cosmetic purposes. This prohibition applies regardless of parental consent.</w:t>
      </w:r>
    </w:p>
    <w:p>
      <w:pPr>
        <w:spacing w:after="120" w:before="0" w:line="276"/>
      </w:pPr>
      <w:r>
        <w:rPr>
          <w:rFonts w:ascii="Arial" w:cs="Arial" w:eastAsia="Arial" w:hAnsi="Arial"/>
          <w:color w:val="000000"/>
          <w:sz w:val="22"/>
          <w:szCs w:val="22"/>
        </w:rPr>
        <w:t xml:space="preserve">[Insert Organisation Name] will not provide any injectable aesthetic treatment to any person under the age of 18.</w:t>
      </w:r>
    </w:p>
    <w:p>
      <w:pPr>
        <w:pBdr>
          <w:bottom w:val="single" w:color="D4AF37" w:sz="2" w:space="4"/>
        </w:pBdr>
        <w:spacing w:after="150" w:before="300"/>
      </w:pPr>
      <w:r>
        <w:rPr>
          <w:rFonts w:ascii="Arial" w:cs="Arial" w:eastAsia="Arial" w:hAnsi="Arial"/>
          <w:b/>
          <w:bCs/>
          <w:color w:val="0B1D3A"/>
          <w:sz w:val="28"/>
          <w:szCs w:val="28"/>
        </w:rPr>
        <w:t xml:space="preserve">9. Vulnerable Clients</w:t>
      </w:r>
    </w:p>
    <w:p>
      <w:pPr>
        <w:spacing w:after="120" w:before="0" w:line="276"/>
      </w:pPr>
      <w:r>
        <w:rPr>
          <w:rFonts w:ascii="Arial" w:cs="Arial" w:eastAsia="Arial" w:hAnsi="Arial"/>
          <w:color w:val="000000"/>
          <w:sz w:val="22"/>
          <w:szCs w:val="22"/>
        </w:rPr>
        <w:t xml:space="preserve">Practitioners must be alert to signs that a client may be vulnerable, including body dysmorphic disorder (BDD), coercion by a third party, unrealistic expectations, or emotional distress. Where vulnerability is identified, the practitioner must:</w:t>
      </w:r>
    </w:p>
    <w:p>
      <w:pPr>
        <w:pStyle w:val="ListParagraph"/>
        <w:numPr>
          <w:ilvl w:val="0"/>
          <w:numId w:val="7"/>
        </w:numPr>
      </w:pPr>
      <w:r>
        <w:rPr>
          <w:rFonts w:ascii="Arial" w:cs="Arial" w:eastAsia="Arial" w:hAnsi="Arial"/>
          <w:color w:val="000000"/>
          <w:sz w:val="22"/>
          <w:szCs w:val="22"/>
        </w:rPr>
        <w:t xml:space="preserve">Take additional time to discuss the procedure and ensure the client’s expectations are realistic</w:t>
      </w:r>
    </w:p>
    <w:p>
      <w:pPr>
        <w:pStyle w:val="ListParagraph"/>
        <w:numPr>
          <w:ilvl w:val="0"/>
          <w:numId w:val="7"/>
        </w:numPr>
      </w:pPr>
      <w:r>
        <w:rPr>
          <w:rFonts w:ascii="Arial" w:cs="Arial" w:eastAsia="Arial" w:hAnsi="Arial"/>
          <w:color w:val="000000"/>
          <w:sz w:val="22"/>
          <w:szCs w:val="22"/>
        </w:rPr>
        <w:t xml:space="preserve">Consider whether the client should be referred for psychological assessment before treatment</w:t>
      </w:r>
    </w:p>
    <w:p>
      <w:pPr>
        <w:pStyle w:val="ListParagraph"/>
        <w:numPr>
          <w:ilvl w:val="0"/>
          <w:numId w:val="7"/>
        </w:numPr>
      </w:pPr>
      <w:r>
        <w:rPr>
          <w:rFonts w:ascii="Arial" w:cs="Arial" w:eastAsia="Arial" w:hAnsi="Arial"/>
          <w:color w:val="000000"/>
          <w:sz w:val="22"/>
          <w:szCs w:val="22"/>
        </w:rPr>
        <w:t xml:space="preserve">Decline to treat if they believe the procedure would not be in the client’s best interests</w:t>
      </w:r>
    </w:p>
    <w:p>
      <w:pPr>
        <w:pStyle w:val="ListParagraph"/>
        <w:numPr>
          <w:ilvl w:val="0"/>
          <w:numId w:val="7"/>
        </w:numPr>
      </w:pPr>
      <w:r>
        <w:rPr>
          <w:rFonts w:ascii="Arial" w:cs="Arial" w:eastAsia="Arial" w:hAnsi="Arial"/>
          <w:color w:val="000000"/>
          <w:sz w:val="22"/>
          <w:szCs w:val="22"/>
        </w:rPr>
        <w:t xml:space="preserve">Document their assessment and decision</w:t>
      </w:r>
    </w:p>
    <w:p>
      <w:pPr>
        <w:pBdr>
          <w:bottom w:val="single" w:color="D4AF37" w:sz="2" w:space="4"/>
        </w:pBdr>
        <w:spacing w:after="150" w:before="300"/>
      </w:pPr>
      <w:r>
        <w:rPr>
          <w:rFonts w:ascii="Arial" w:cs="Arial" w:eastAsia="Arial" w:hAnsi="Arial"/>
          <w:b/>
          <w:bCs/>
          <w:color w:val="0B1D3A"/>
          <w:sz w:val="28"/>
          <w:szCs w:val="28"/>
        </w:rPr>
        <w:t xml:space="preserve">10. Record Keeping</w:t>
      </w:r>
    </w:p>
    <w:p>
      <w:pPr>
        <w:spacing w:after="120" w:before="0" w:line="276"/>
      </w:pPr>
      <w:r>
        <w:rPr>
          <w:rFonts w:ascii="Arial" w:cs="Arial" w:eastAsia="Arial" w:hAnsi="Arial"/>
          <w:color w:val="000000"/>
          <w:sz w:val="22"/>
          <w:szCs w:val="22"/>
        </w:rPr>
        <w:t xml:space="preserve">Consent records must include:</w:t>
      </w:r>
    </w:p>
    <w:p>
      <w:pPr>
        <w:pStyle w:val="ListParagraph"/>
        <w:numPr>
          <w:ilvl w:val="0"/>
          <w:numId w:val="8"/>
        </w:numPr>
      </w:pPr>
      <w:r>
        <w:rPr>
          <w:rFonts w:ascii="Arial" w:cs="Arial" w:eastAsia="Arial" w:hAnsi="Arial"/>
          <w:color w:val="000000"/>
          <w:sz w:val="22"/>
          <w:szCs w:val="22"/>
        </w:rPr>
        <w:t xml:space="preserve">The client’s full name, date of birth and contact details</w:t>
      </w:r>
    </w:p>
    <w:p>
      <w:pPr>
        <w:pStyle w:val="ListParagraph"/>
        <w:numPr>
          <w:ilvl w:val="0"/>
          <w:numId w:val="8"/>
        </w:numPr>
      </w:pPr>
      <w:r>
        <w:rPr>
          <w:rFonts w:ascii="Arial" w:cs="Arial" w:eastAsia="Arial" w:hAnsi="Arial"/>
          <w:color w:val="000000"/>
          <w:sz w:val="22"/>
          <w:szCs w:val="22"/>
        </w:rPr>
        <w:t xml:space="preserve">The procedure consented to, including the specific areas to be treated and products to be used</w:t>
      </w:r>
    </w:p>
    <w:p>
      <w:pPr>
        <w:pStyle w:val="ListParagraph"/>
        <w:numPr>
          <w:ilvl w:val="0"/>
          <w:numId w:val="8"/>
        </w:numPr>
      </w:pPr>
      <w:r>
        <w:rPr>
          <w:rFonts w:ascii="Arial" w:cs="Arial" w:eastAsia="Arial" w:hAnsi="Arial"/>
          <w:color w:val="000000"/>
          <w:sz w:val="22"/>
          <w:szCs w:val="22"/>
        </w:rPr>
        <w:t xml:space="preserve">A record of the information provided, including risks discussed</w:t>
      </w:r>
    </w:p>
    <w:p>
      <w:pPr>
        <w:pStyle w:val="ListParagraph"/>
        <w:numPr>
          <w:ilvl w:val="0"/>
          <w:numId w:val="8"/>
        </w:numPr>
      </w:pPr>
      <w:r>
        <w:rPr>
          <w:rFonts w:ascii="Arial" w:cs="Arial" w:eastAsia="Arial" w:hAnsi="Arial"/>
          <w:color w:val="000000"/>
          <w:sz w:val="22"/>
          <w:szCs w:val="22"/>
        </w:rPr>
        <w:t xml:space="preserve">Confirmation that the client had the opportunity to ask questions</w:t>
      </w:r>
    </w:p>
    <w:p>
      <w:pPr>
        <w:pStyle w:val="ListParagraph"/>
        <w:numPr>
          <w:ilvl w:val="0"/>
          <w:numId w:val="8"/>
        </w:numPr>
      </w:pPr>
      <w:r>
        <w:rPr>
          <w:rFonts w:ascii="Arial" w:cs="Arial" w:eastAsia="Arial" w:hAnsi="Arial"/>
          <w:color w:val="000000"/>
          <w:sz w:val="22"/>
          <w:szCs w:val="22"/>
        </w:rPr>
        <w:t xml:space="preserve">Confirmation of the cooling-off period observed</w:t>
      </w:r>
    </w:p>
    <w:p>
      <w:pPr>
        <w:pStyle w:val="ListParagraph"/>
        <w:numPr>
          <w:ilvl w:val="0"/>
          <w:numId w:val="8"/>
        </w:numPr>
      </w:pPr>
      <w:r>
        <w:rPr>
          <w:rFonts w:ascii="Arial" w:cs="Arial" w:eastAsia="Arial" w:hAnsi="Arial"/>
          <w:color w:val="000000"/>
          <w:sz w:val="22"/>
          <w:szCs w:val="22"/>
        </w:rPr>
        <w:t xml:space="preserve">The client’s signature and date</w:t>
      </w:r>
    </w:p>
    <w:p>
      <w:pPr>
        <w:pStyle w:val="ListParagraph"/>
        <w:numPr>
          <w:ilvl w:val="0"/>
          <w:numId w:val="8"/>
        </w:numPr>
      </w:pPr>
      <w:r>
        <w:rPr>
          <w:rFonts w:ascii="Arial" w:cs="Arial" w:eastAsia="Arial" w:hAnsi="Arial"/>
          <w:color w:val="000000"/>
          <w:sz w:val="22"/>
          <w:szCs w:val="22"/>
        </w:rPr>
        <w:t xml:space="preserve">The practitioner’s signature, name and date</w:t>
      </w:r>
    </w:p>
    <w:p>
      <w:pPr>
        <w:pStyle w:val="ListParagraph"/>
        <w:numPr>
          <w:ilvl w:val="0"/>
          <w:numId w:val="8"/>
        </w:numPr>
      </w:pPr>
      <w:r>
        <w:rPr>
          <w:rFonts w:ascii="Arial" w:cs="Arial" w:eastAsia="Arial" w:hAnsi="Arial"/>
          <w:color w:val="000000"/>
          <w:sz w:val="22"/>
          <w:szCs w:val="22"/>
        </w:rPr>
        <w:t xml:space="preserve">Any photographs taken (with separate photographic consent)</w:t>
      </w:r>
    </w:p>
    <w:p>
      <w:pPr>
        <w:spacing w:after="120" w:before="0" w:line="276"/>
      </w:pPr>
      <w:r>
        <w:rPr>
          <w:rFonts w:ascii="Arial" w:cs="Arial" w:eastAsia="Arial" w:hAnsi="Arial"/>
          <w:color w:val="000000"/>
          <w:sz w:val="22"/>
          <w:szCs w:val="22"/>
        </w:rPr>
        <w:t xml:space="preserve">Consent records must be stored securely in accordance with the Data Protection Act 2018 and retained for a minimum of 10 years (or until the client’s 25th birthday if the client was under 18 at the time of treatment).</w:t>
      </w:r>
    </w:p>
    <w:p>
      <w:pPr>
        <w:pBdr>
          <w:bottom w:val="single" w:color="D4AF37" w:sz="2" w:space="4"/>
        </w:pBdr>
        <w:spacing w:after="150" w:before="300"/>
      </w:pPr>
      <w:r>
        <w:rPr>
          <w:rFonts w:ascii="Arial" w:cs="Arial" w:eastAsia="Arial" w:hAnsi="Arial"/>
          <w:b/>
          <w:bCs/>
          <w:color w:val="0B1D3A"/>
          <w:sz w:val="28"/>
          <w:szCs w:val="28"/>
        </w:rPr>
        <w:t xml:space="preserve">11. Withdrawal of Consent</w:t>
      </w:r>
    </w:p>
    <w:p>
      <w:pPr>
        <w:spacing w:after="120" w:before="0" w:line="276"/>
      </w:pPr>
      <w:r>
        <w:rPr>
          <w:rFonts w:ascii="Arial" w:cs="Arial" w:eastAsia="Arial" w:hAnsi="Arial"/>
          <w:color w:val="000000"/>
          <w:sz w:val="22"/>
          <w:szCs w:val="22"/>
        </w:rPr>
        <w:t xml:space="preserve">A client may withdraw consent at any time before or during the procedure. If consent is withdrawn, the practitioner must stop the procedure immediately and document the withdrawal.</w:t>
      </w:r>
    </w:p>
    <w:p>
      <w:pPr>
        <w:pBdr>
          <w:bottom w:val="single" w:color="D4AF37" w:sz="2" w:space="4"/>
        </w:pBdr>
        <w:spacing w:after="150" w:before="300"/>
      </w:pPr>
      <w:r>
        <w:rPr>
          <w:rFonts w:ascii="Arial" w:cs="Arial" w:eastAsia="Arial" w:hAnsi="Arial"/>
          <w:b/>
          <w:bCs/>
          <w:color w:val="0B1D3A"/>
          <w:sz w:val="28"/>
          <w:szCs w:val="28"/>
        </w:rPr>
        <w:t xml:space="preserve">12. Training</w:t>
      </w:r>
    </w:p>
    <w:p>
      <w:pPr>
        <w:spacing w:after="120" w:before="0" w:line="276"/>
      </w:pPr>
      <w:r>
        <w:rPr>
          <w:rFonts w:ascii="Arial" w:cs="Arial" w:eastAsia="Arial" w:hAnsi="Arial"/>
          <w:color w:val="000000"/>
          <w:sz w:val="22"/>
          <w:szCs w:val="22"/>
        </w:rPr>
        <w:t xml:space="preserve">All practitioners must complete training on consent, capacity assessment and risk disclosure at induction and at least annually thereafter. Training records must be maintained.</w:t>
      </w:r>
    </w:p>
    <w:p>
      <w:pPr>
        <w:pBdr>
          <w:bottom w:val="single" w:color="D4AF37" w:sz="2" w:space="4"/>
        </w:pBdr>
        <w:spacing w:after="150" w:before="300"/>
      </w:pPr>
      <w:r>
        <w:rPr>
          <w:rFonts w:ascii="Arial" w:cs="Arial" w:eastAsia="Arial" w:hAnsi="Arial"/>
          <w:b/>
          <w:bCs/>
          <w:color w:val="0B1D3A"/>
          <w:sz w:val="28"/>
          <w:szCs w:val="28"/>
        </w:rPr>
        <w:t xml:space="preserve">13. Responsibilities</w:t>
      </w:r>
    </w:p>
    <w:p>
      <w:pPr>
        <w:spacing w:after="120" w:before="240"/>
      </w:pPr>
      <w:r>
        <w:rPr>
          <w:rFonts w:ascii="Arial" w:cs="Arial" w:eastAsia="Arial" w:hAnsi="Arial"/>
          <w:b/>
          <w:bCs/>
          <w:color w:val="5B4A00"/>
          <w:sz w:val="24"/>
          <w:szCs w:val="24"/>
        </w:rPr>
        <w:t xml:space="preserve">13.1 Practitioners</w:t>
      </w:r>
    </w:p>
    <w:p>
      <w:pPr>
        <w:pStyle w:val="ListParagraph"/>
        <w:numPr>
          <w:ilvl w:val="0"/>
          <w:numId w:val="9"/>
        </w:numPr>
      </w:pPr>
      <w:r>
        <w:rPr>
          <w:rFonts w:ascii="Arial" w:cs="Arial" w:eastAsia="Arial" w:hAnsi="Arial"/>
          <w:color w:val="000000"/>
          <w:sz w:val="22"/>
          <w:szCs w:val="22"/>
        </w:rPr>
        <w:t xml:space="preserve">Obtain valid informed consent for every procedure</w:t>
      </w:r>
    </w:p>
    <w:p>
      <w:pPr>
        <w:pStyle w:val="ListParagraph"/>
        <w:numPr>
          <w:ilvl w:val="0"/>
          <w:numId w:val="9"/>
        </w:numPr>
      </w:pPr>
      <w:r>
        <w:rPr>
          <w:rFonts w:ascii="Arial" w:cs="Arial" w:eastAsia="Arial" w:hAnsi="Arial"/>
          <w:color w:val="000000"/>
          <w:sz w:val="22"/>
          <w:szCs w:val="22"/>
        </w:rPr>
        <w:t xml:space="preserve">Ensure adequate risk disclosure in accordance with Montgomery principles</w:t>
      </w:r>
    </w:p>
    <w:p>
      <w:pPr>
        <w:pStyle w:val="ListParagraph"/>
        <w:numPr>
          <w:ilvl w:val="0"/>
          <w:numId w:val="9"/>
        </w:numPr>
      </w:pPr>
      <w:r>
        <w:rPr>
          <w:rFonts w:ascii="Arial" w:cs="Arial" w:eastAsia="Arial" w:hAnsi="Arial"/>
          <w:color w:val="000000"/>
          <w:sz w:val="22"/>
          <w:szCs w:val="22"/>
        </w:rPr>
        <w:t xml:space="preserve">Assess capacity where there is reason to doubt it</w:t>
      </w:r>
    </w:p>
    <w:p>
      <w:pPr>
        <w:pStyle w:val="ListParagraph"/>
        <w:numPr>
          <w:ilvl w:val="0"/>
          <w:numId w:val="9"/>
        </w:numPr>
      </w:pPr>
      <w:r>
        <w:rPr>
          <w:rFonts w:ascii="Arial" w:cs="Arial" w:eastAsia="Arial" w:hAnsi="Arial"/>
          <w:color w:val="000000"/>
          <w:sz w:val="22"/>
          <w:szCs w:val="22"/>
        </w:rPr>
        <w:t xml:space="preserve">Observe cooling-off periods</w:t>
      </w:r>
    </w:p>
    <w:p>
      <w:pPr>
        <w:pStyle w:val="ListParagraph"/>
        <w:numPr>
          <w:ilvl w:val="0"/>
          <w:numId w:val="9"/>
        </w:numPr>
      </w:pPr>
      <w:r>
        <w:rPr>
          <w:rFonts w:ascii="Arial" w:cs="Arial" w:eastAsia="Arial" w:hAnsi="Arial"/>
          <w:color w:val="000000"/>
          <w:sz w:val="22"/>
          <w:szCs w:val="22"/>
        </w:rPr>
        <w:t xml:space="preserve">Maintain accurate consent records</w:t>
      </w:r>
    </w:p>
    <w:p>
      <w:pPr>
        <w:spacing w:after="120" w:before="240"/>
      </w:pPr>
      <w:r>
        <w:rPr>
          <w:rFonts w:ascii="Arial" w:cs="Arial" w:eastAsia="Arial" w:hAnsi="Arial"/>
          <w:b/>
          <w:bCs/>
          <w:color w:val="5B4A00"/>
          <w:sz w:val="24"/>
          <w:szCs w:val="24"/>
        </w:rPr>
        <w:t xml:space="preserve">13.2 Clinical Lead / Registered Manager</w:t>
      </w:r>
    </w:p>
    <w:p>
      <w:pPr>
        <w:spacing w:after="120" w:before="0" w:line="276"/>
      </w:pPr>
      <w:r>
        <w:rPr>
          <w:rFonts w:ascii="Arial" w:cs="Arial" w:eastAsia="Arial" w:hAnsi="Arial"/>
          <w:color w:val="000000"/>
          <w:sz w:val="22"/>
          <w:szCs w:val="22"/>
        </w:rPr>
        <w:t xml:space="preserve">[Insert Name] is responsible for ensuring that this policy is implemented, that all practitioners are trained, and that consent processes are audited regularly.</w:t>
      </w:r>
    </w:p>
    <w:p>
      <w:pPr>
        <w:pBdr>
          <w:bottom w:val="single" w:color="D4AF37" w:sz="2" w:space="4"/>
        </w:pBdr>
        <w:spacing w:after="150" w:before="300"/>
      </w:pPr>
      <w:r>
        <w:rPr>
          <w:rFonts w:ascii="Arial" w:cs="Arial" w:eastAsia="Arial" w:hAnsi="Arial"/>
          <w:b/>
          <w:bCs/>
          <w:color w:val="0B1D3A"/>
          <w:sz w:val="28"/>
          <w:szCs w:val="28"/>
        </w:rPr>
        <w:t xml:space="preserve">14. Monitoring and Review</w:t>
      </w:r>
    </w:p>
    <w:p>
      <w:pPr>
        <w:spacing w:after="120" w:before="0" w:line="276"/>
      </w:pPr>
      <w:r>
        <w:rPr>
          <w:rFonts w:ascii="Arial" w:cs="Arial" w:eastAsia="Arial" w:hAnsi="Arial"/>
          <w:color w:val="000000"/>
          <w:sz w:val="22"/>
          <w:szCs w:val="22"/>
        </w:rPr>
        <w:t xml:space="preserve">This policy will be reviewed annually or sooner if there is a change in legislation, a complaint, an incident, or a CQC inspection finding. Compliance will be monitored through consent form audits, client feedback and clinical supervision.</w:t>
      </w:r>
    </w:p>
    <w:p>
      <w:r>
        <w:br w:type="page"/>
      </w:r>
    </w:p>
    <w:p>
      <w:pPr>
        <w:pBdr>
          <w:bottom w:val="single" w:color="D4AF37" w:sz="2" w:space="4"/>
        </w:pBdr>
        <w:spacing w:after="150" w:before="300"/>
      </w:pPr>
      <w:r>
        <w:rPr>
          <w:rFonts w:ascii="Arial" w:cs="Arial" w:eastAsia="Arial" w:hAnsi="Arial"/>
          <w:b/>
          <w:bCs/>
          <w:color w:val="0B1D3A"/>
          <w:sz w:val="28"/>
          <w:szCs w:val="28"/>
        </w:rPr>
        <w:t xml:space="preserve">Sign-Off</w:t>
      </w:r>
    </w:p>
    <w:p>
      <w:pPr>
        <w:spacing w:after="120" w:before="0" w:line="276"/>
      </w:pPr>
      <w:r>
        <w:rPr>
          <w:rFonts w:ascii="Arial" w:cs="Arial" w:eastAsia="Arial" w:hAnsi="Arial"/>
          <w:color w:val="000000"/>
          <w:sz w:val="22"/>
          <w:szCs w:val="22"/>
        </w:rPr>
        <w:t xml:space="preserve">This document has been approved and authorised by: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Title</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Title]</w:t>
            </w:r>
          </w:p>
        </w:tc>
      </w:tr>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 Approved</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Next Review</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 + 12 months]</w:t>
            </w:r>
          </w:p>
        </w:tc>
      </w:tr>
    </w:tbl>
    <w:p>
      <w:pPr>
        <w:spacing w:before="300"/>
      </w:pPr>
    </w:p>
    <w:p>
      <w:pPr>
        <w:pBdr>
          <w:top w:val="single" w:color="D4AF37" w:sz="4" w:space="8"/>
          <w:bottom w:val="single" w:color="D4AF37" w:sz="4" w:space="8"/>
        </w:pBdr>
        <w:spacing w:after="200" w:before="200"/>
        <w:jc w:val="center"/>
      </w:pPr>
      <w:r>
        <w:rPr>
          <w:rFonts w:ascii="Arial" w:cs="Arial" w:eastAsia="Arial" w:hAnsi="Arial"/>
          <w:b/>
          <w:bCs/>
          <w:color w:val="0B1D3A"/>
          <w:sz w:val="20"/>
          <w:szCs w:val="20"/>
        </w:rPr>
        <w:t xml:space="preserve">END OF DOCUMENT</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2" w:space="4"/>
      </w:pBdr>
      <w:jc w:val="center"/>
    </w:pPr>
    <w:r>
      <w:rPr>
        <w:rFonts w:ascii="Arial" w:cs="Arial" w:eastAsia="Arial" w:hAnsi="Arial"/>
        <w:color w:val="999999"/>
        <w:sz w:val="14"/>
        <w:szCs w:val="14"/>
      </w:rPr>
      <w:t xml:space="preserve">© Barker Scott Ltd  |  barker-scott.co.uk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spacing w:after="100"/>
    </w:pPr>
    <w:r>
      <w:drawing>
        <wp:inline distT="0" distB="0" distL="0" distR="0">
          <wp:extent cx="1905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476250"/>
                  </a:xfrm>
                  <a:prstGeom prst="rect">
                    <a:avLst/>
                  </a:prstGeom>
                </pic:spPr>
              </pic:pic>
            </a:graphicData>
          </a:graphic>
        </wp:inline>
      </w:drawing>
    </w:r>
    <w:r>
      <w:rPr>
        <w:rFonts w:ascii="Arial" w:cs="Arial" w:eastAsia="Arial" w:hAnsi="Arial"/>
        <w:color w:val="5B4A00"/>
        <w:sz w:val="16"/>
        <w:szCs w:val="16"/>
      </w:rPr>
      <w:t xml:space="preserve">  |  Consent &amp; Risk Disclosure Policy  |  POL-AC-01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eda36e21feb3d2f69d01492dd41e26580fc81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deda36e21feb3d2f69d01492dd41e26580fc8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2026-05-15T09:04:37.084Z</dcterms:created>
  <dcterms:modified xsi:type="dcterms:W3CDTF">2026-05-15T09:04:37.097Z</dcterms:modified>
</cp:coreProperties>
</file>

<file path=docProps/custom.xml><?xml version="1.0" encoding="utf-8"?>
<Properties xmlns="http://schemas.openxmlformats.org/officeDocument/2006/custom-properties" xmlns:vt="http://schemas.openxmlformats.org/officeDocument/2006/docPropsVTypes"/>
</file>