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drawing>
          <wp:inline distT="0" distB="0" distL="0" distR="0">
            <wp:extent cx="33337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838200"/>
                    </a:xfrm>
                    <a:prstGeom prst="rect">
                      <a:avLst/>
                    </a:prstGeom>
                  </pic:spPr>
                </pic:pic>
              </a:graphicData>
            </a:graphic>
          </wp:inline>
        </w:drawing>
      </w:r>
    </w:p>
    <w:p>
      <w:pPr>
        <w:spacing w:before="600"/>
      </w:pPr>
    </w:p>
    <w:p>
      <w:pPr>
        <w:spacing w:after="200"/>
        <w:jc w:val="center"/>
      </w:pPr>
      <w:r>
        <w:rPr>
          <w:rFonts w:ascii="Arial" w:cs="Arial" w:eastAsia="Arial" w:hAnsi="Arial"/>
          <w:b/>
          <w:bCs/>
          <w:color w:val="0B1D3A"/>
          <w:sz w:val="48"/>
          <w:szCs w:val="48"/>
        </w:rPr>
        <w:t xml:space="preserve">Health &amp; Safety Policy</w:t>
      </w:r>
    </w:p>
    <w:p>
      <w:pPr>
        <w:spacing w:after="400"/>
        <w:jc w:val="center"/>
      </w:pPr>
      <w:r>
        <w:rPr>
          <w:rFonts w:ascii="Arial" w:cs="Arial" w:eastAsia="Arial" w:hAnsi="Arial"/>
          <w:b/>
          <w:bCs/>
          <w:color w:val="D4AF37"/>
          <w:sz w:val="20"/>
          <w:szCs w:val="20"/>
        </w:rPr>
        <w:t xml:space="preserve">Health and Safety at Work Act 1974  |  Management of H&amp;S Regulations 1999  |  CQC Regulation 15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Document Reference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POL-AC-07</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Date + 12 months]</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Applies To</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Trigger</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Organisation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All staff, contractors and visitors</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[Insert Name], [Insert Title]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Annually, after incident, or on regulatory change</w:t>
            </w:r>
          </w:p>
        </w:tc>
      </w:tr>
    </w:tbl>
    <w:p>
      <w:pPr>
        <w:spacing w:before="300"/>
      </w:pPr>
    </w:p>
    <w:p>
      <w:pPr>
        <w:spacing w:after="120" w:before="0" w:line="276"/>
        <w:jc w:val="center"/>
      </w:pPr>
      <w:r>
        <w:rPr>
          <w:rFonts w:ascii="Arial" w:cs="Arial" w:eastAsia="Arial" w:hAnsi="Arial"/>
          <w:b/>
          <w:bCs/>
          <w:color w:val="0B1D3A"/>
          <w:sz w:val="20"/>
          <w:szCs w:val="20"/>
        </w:rPr>
        <w:t xml:space="preserve">CONFIDENTIALITY NOTICE</w:t>
      </w:r>
    </w:p>
    <w:p>
      <w:pPr>
        <w:spacing w:after="120" w:before="0" w:line="276"/>
        <w:jc w:val="center"/>
      </w:pPr>
      <w:r>
        <w:rPr>
          <w:rFonts w:ascii="Arial" w:cs="Arial" w:eastAsia="Arial" w:hAnsi="Arial"/>
          <w:color w:val="000000"/>
          <w:sz w:val="22"/>
          <w:szCs w:val="22"/>
        </w:rPr>
        <w:t xml:space="preserve">This document and the information contained therein is the property of [Insert Organisation Name]. It must not be reproduced or disclosed without prior written consent.</w:t>
      </w:r>
    </w:p>
    <w:p>
      <w:r>
        <w:br w:type="page"/>
      </w:r>
    </w:p>
    <w:p>
      <w:pPr>
        <w:pBdr>
          <w:bottom w:val="single" w:color="D4AF37" w:sz="2" w:space="4"/>
        </w:pBdr>
        <w:spacing w:after="150" w:before="300"/>
      </w:pPr>
      <w:r>
        <w:rPr>
          <w:rFonts w:ascii="Arial" w:cs="Arial" w:eastAsia="Arial" w:hAnsi="Arial"/>
          <w:b/>
          <w:bCs/>
          <w:color w:val="0B1D3A"/>
          <w:sz w:val="28"/>
          <w:szCs w:val="28"/>
        </w:rPr>
        <w:t xml:space="preserve">1. Introduction</w:t>
      </w:r>
    </w:p>
    <w:p>
      <w:pPr>
        <w:spacing w:after="120" w:before="0" w:line="276"/>
      </w:pPr>
      <w:r>
        <w:rPr>
          <w:rFonts w:ascii="Arial" w:cs="Arial" w:eastAsia="Arial" w:hAnsi="Arial"/>
          <w:color w:val="000000"/>
          <w:sz w:val="22"/>
          <w:szCs w:val="22"/>
        </w:rPr>
        <w:t xml:space="preserve">[Insert Organisation Name] is committed to ensuring the health, safety and welfare of all employees, clients, visitors and contractors. This policy sets out the organisation’s approach to health and safety management in compliance with the Health and Safety at Work etc. Act 1974.</w:t>
      </w:r>
    </w:p>
    <w:p>
      <w:pPr>
        <w:pBdr>
          <w:bottom w:val="single" w:color="D4AF37" w:sz="2" w:space="4"/>
        </w:pBdr>
        <w:spacing w:after="150" w:before="300"/>
      </w:pPr>
      <w:r>
        <w:rPr>
          <w:rFonts w:ascii="Arial" w:cs="Arial" w:eastAsia="Arial" w:hAnsi="Arial"/>
          <w:b/>
          <w:bCs/>
          <w:color w:val="0B1D3A"/>
          <w:sz w:val="28"/>
          <w:szCs w:val="28"/>
        </w:rPr>
        <w:t xml:space="preserve">2. Legal Framework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Legislation</w:t>
            </w:r>
          </w:p>
        </w:tc>
        <w:tc>
          <w:tcPr>
            <w:tcW w:type="dxa" w:w="4753"/>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Safety at Work etc. Act 1974</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General duty on employers to ensure, so far as is reasonably practicable, the health, safety and welfare of employees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Management of Health and Safety at Work Regulations 1999</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Risk assessment, competent health and safety advice, emergency procedures, training</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Workplace (Health, Safety and Welfare) Regulations 1992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Working environment, temperature, lighting, ventilation, cleanliness, space</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COSHH Regulations 2002</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Control of hazardous substances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RIDDOR 2013</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Reporting of injuries, diseases and dangerous occurrences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Health and Social Care Act 2008</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Regulation 12 (Safe care and treatment) and Regulation 15 (Premises and equipment)</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Regulatory Reform (Fire Safety) Order 2005</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Fire risk assessment and fire safety measures</w:t>
            </w:r>
          </w:p>
        </w:tc>
      </w:tr>
      <w:tr>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Electricity at Work Regulations 1989</w:t>
            </w:r>
          </w:p>
        </w:tc>
        <w:tc>
          <w:tcPr>
            <w:tcW w:type="dxa" w:w="4753"/>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Safety of electrical systems and equipment</w:t>
            </w:r>
          </w:p>
        </w:tc>
      </w:tr>
    </w:tbl>
    <w:p>
      <w:pPr>
        <w:pBdr>
          <w:bottom w:val="single" w:color="D4AF37" w:sz="2" w:space="4"/>
        </w:pBdr>
        <w:spacing w:after="150" w:before="300"/>
      </w:pPr>
      <w:r>
        <w:rPr>
          <w:rFonts w:ascii="Arial" w:cs="Arial" w:eastAsia="Arial" w:hAnsi="Arial"/>
          <w:b/>
          <w:bCs/>
          <w:color w:val="0B1D3A"/>
          <w:sz w:val="28"/>
          <w:szCs w:val="28"/>
        </w:rPr>
        <w:t xml:space="preserve">3. General Statement of Intent</w:t>
      </w:r>
    </w:p>
    <w:p>
      <w:pPr>
        <w:spacing w:after="120" w:before="0" w:line="276"/>
      </w:pPr>
      <w:r>
        <w:rPr>
          <w:rFonts w:ascii="Arial" w:cs="Arial" w:eastAsia="Arial" w:hAnsi="Arial"/>
          <w:color w:val="000000"/>
          <w:sz w:val="22"/>
          <w:szCs w:val="22"/>
        </w:rPr>
        <w:t xml:space="preserve">The management of [Insert Organisation Name] accepts overall responsibility for health and safety and will ensure that adequate resources are made available to implement this policy. All employees have a duty to cooperate with the employer on health and safety matters and to take reasonable care of their own health and safety and that of others.</w:t>
      </w:r>
    </w:p>
    <w:p>
      <w:pPr>
        <w:pBdr>
          <w:bottom w:val="single" w:color="D4AF37" w:sz="2" w:space="4"/>
        </w:pBdr>
        <w:spacing w:after="150" w:before="300"/>
      </w:pPr>
      <w:r>
        <w:rPr>
          <w:rFonts w:ascii="Arial" w:cs="Arial" w:eastAsia="Arial" w:hAnsi="Arial"/>
          <w:b/>
          <w:bCs/>
          <w:color w:val="0B1D3A"/>
          <w:sz w:val="28"/>
          <w:szCs w:val="28"/>
        </w:rPr>
        <w:t xml:space="preserve">4. Risk Assessment</w:t>
      </w:r>
    </w:p>
    <w:p>
      <w:pPr>
        <w:spacing w:after="120" w:before="0" w:line="276"/>
      </w:pPr>
      <w:r>
        <w:rPr>
          <w:rFonts w:ascii="Arial" w:cs="Arial" w:eastAsia="Arial" w:hAnsi="Arial"/>
          <w:color w:val="000000"/>
          <w:sz w:val="22"/>
          <w:szCs w:val="22"/>
        </w:rPr>
        <w:t xml:space="preserve">Risk assessments will be carried out for all significant hazards in the workplace, including clinical procedures, manual handling, fire, COSHH, electrical equipment and lone working. Risk assessments will be reviewed annually or when circumstances change.</w:t>
      </w:r>
    </w:p>
    <w:p>
      <w:pPr>
        <w:pBdr>
          <w:bottom w:val="single" w:color="D4AF37" w:sz="2" w:space="4"/>
        </w:pBdr>
        <w:spacing w:after="150" w:before="300"/>
      </w:pPr>
      <w:r>
        <w:rPr>
          <w:rFonts w:ascii="Arial" w:cs="Arial" w:eastAsia="Arial" w:hAnsi="Arial"/>
          <w:b/>
          <w:bCs/>
          <w:color w:val="0B1D3A"/>
          <w:sz w:val="28"/>
          <w:szCs w:val="28"/>
        </w:rPr>
        <w:t xml:space="preserve">5. Accident and Incident Reporting</w:t>
      </w:r>
    </w:p>
    <w:p>
      <w:pPr>
        <w:spacing w:after="120" w:before="0" w:line="276"/>
      </w:pPr>
      <w:r>
        <w:rPr>
          <w:rFonts w:ascii="Arial" w:cs="Arial" w:eastAsia="Arial" w:hAnsi="Arial"/>
          <w:color w:val="000000"/>
          <w:sz w:val="22"/>
          <w:szCs w:val="22"/>
        </w:rPr>
        <w:t xml:space="preserve">All accidents, incidents and near-misses must be recorded in the accident book and reported to the Health and Safety Lead ([Insert Name]). RIDDOR-reportable incidents must be reported to the HSE within the statutory timeframe.</w:t>
      </w:r>
    </w:p>
    <w:p>
      <w:pPr>
        <w:pBdr>
          <w:bottom w:val="single" w:color="D4AF37" w:sz="2" w:space="4"/>
        </w:pBdr>
        <w:spacing w:after="150" w:before="300"/>
      </w:pPr>
      <w:r>
        <w:rPr>
          <w:rFonts w:ascii="Arial" w:cs="Arial" w:eastAsia="Arial" w:hAnsi="Arial"/>
          <w:b/>
          <w:bCs/>
          <w:color w:val="0B1D3A"/>
          <w:sz w:val="28"/>
          <w:szCs w:val="28"/>
        </w:rPr>
        <w:t xml:space="preserve">6. First Aid</w:t>
      </w:r>
    </w:p>
    <w:p>
      <w:pPr>
        <w:spacing w:after="120" w:before="0" w:line="276"/>
      </w:pPr>
      <w:r>
        <w:rPr>
          <w:rFonts w:ascii="Arial" w:cs="Arial" w:eastAsia="Arial" w:hAnsi="Arial"/>
          <w:color w:val="000000"/>
          <w:sz w:val="22"/>
          <w:szCs w:val="22"/>
        </w:rPr>
        <w:t xml:space="preserve">A suitably stocked first aid kit must be available on the premises. At least one trained first aider must be on duty at all times when the clinic is operational. First aid equipment must be checked monthly.</w:t>
      </w:r>
    </w:p>
    <w:p>
      <w:pPr>
        <w:pBdr>
          <w:bottom w:val="single" w:color="D4AF37" w:sz="2" w:space="4"/>
        </w:pBdr>
        <w:spacing w:after="150" w:before="300"/>
      </w:pPr>
      <w:r>
        <w:rPr>
          <w:rFonts w:ascii="Arial" w:cs="Arial" w:eastAsia="Arial" w:hAnsi="Arial"/>
          <w:b/>
          <w:bCs/>
          <w:color w:val="0B1D3A"/>
          <w:sz w:val="28"/>
          <w:szCs w:val="28"/>
        </w:rPr>
        <w:t xml:space="preserve">7. Fire Safety</w:t>
      </w:r>
    </w:p>
    <w:p>
      <w:pPr>
        <w:spacing w:after="120" w:before="0" w:line="276"/>
      </w:pPr>
      <w:r>
        <w:rPr>
          <w:rFonts w:ascii="Arial" w:cs="Arial" w:eastAsia="Arial" w:hAnsi="Arial"/>
          <w:color w:val="000000"/>
          <w:sz w:val="22"/>
          <w:szCs w:val="22"/>
        </w:rPr>
        <w:t xml:space="preserve">A fire risk assessment must be in place and reviewed annually. Fire drills must be conducted at least 6-monthly. Fire detection and alarm systems, emergency lighting and firefighting equipment must be serviced and maintained in accordance with the Regulatory Reform (Fire Safety) Order 2005.</w:t>
      </w:r>
    </w:p>
    <w:p>
      <w:pPr>
        <w:pBdr>
          <w:bottom w:val="single" w:color="D4AF37" w:sz="2" w:space="4"/>
        </w:pBdr>
        <w:spacing w:after="150" w:before="300"/>
      </w:pPr>
      <w:r>
        <w:rPr>
          <w:rFonts w:ascii="Arial" w:cs="Arial" w:eastAsia="Arial" w:hAnsi="Arial"/>
          <w:b/>
          <w:bCs/>
          <w:color w:val="0B1D3A"/>
          <w:sz w:val="28"/>
          <w:szCs w:val="28"/>
        </w:rPr>
        <w:t xml:space="preserve">8. Training</w:t>
      </w:r>
    </w:p>
    <w:p>
      <w:pPr>
        <w:spacing w:after="120" w:before="0" w:line="276"/>
      </w:pPr>
      <w:r>
        <w:rPr>
          <w:rFonts w:ascii="Arial" w:cs="Arial" w:eastAsia="Arial" w:hAnsi="Arial"/>
          <w:color w:val="000000"/>
          <w:sz w:val="22"/>
          <w:szCs w:val="22"/>
        </w:rPr>
        <w:t xml:space="preserve">All staff must receive health and safety induction training and annual refresher training. Records must be maintained.</w:t>
      </w:r>
    </w:p>
    <w:p>
      <w:pPr>
        <w:pBdr>
          <w:bottom w:val="single" w:color="D4AF37" w:sz="2" w:space="4"/>
        </w:pBdr>
        <w:spacing w:after="150" w:before="300"/>
      </w:pPr>
      <w:r>
        <w:rPr>
          <w:rFonts w:ascii="Arial" w:cs="Arial" w:eastAsia="Arial" w:hAnsi="Arial"/>
          <w:b/>
          <w:bCs/>
          <w:color w:val="0B1D3A"/>
          <w:sz w:val="28"/>
          <w:szCs w:val="28"/>
        </w:rPr>
        <w:t xml:space="preserve">9. Responsibilities</w:t>
      </w:r>
    </w:p>
    <w:p>
      <w:pPr>
        <w:spacing w:after="120" w:before="0" w:line="276"/>
      </w:pPr>
      <w:r>
        <w:rPr>
          <w:rFonts w:ascii="Arial" w:cs="Arial" w:eastAsia="Arial" w:hAnsi="Arial"/>
          <w:color w:val="000000"/>
          <w:sz w:val="22"/>
          <w:szCs w:val="22"/>
        </w:rPr>
        <w:t xml:space="preserve">The Registered Manager ([Insert Name]) has overall responsibility for health and safety. The Health and Safety Lead ([Insert Name]) is responsible for day-to-day implementation.</w:t>
      </w:r>
    </w:p>
    <w:p>
      <w:r>
        <w:br w:type="page"/>
      </w:r>
    </w:p>
    <w:p>
      <w:pPr>
        <w:pBdr>
          <w:bottom w:val="single" w:color="D4AF37" w:sz="2" w:space="4"/>
        </w:pBdr>
        <w:spacing w:after="150" w:before="300"/>
      </w:pPr>
      <w:r>
        <w:rPr>
          <w:rFonts w:ascii="Arial" w:cs="Arial" w:eastAsia="Arial" w:hAnsi="Arial"/>
          <w:b/>
          <w:bCs/>
          <w:color w:val="0B1D3A"/>
          <w:sz w:val="28"/>
          <w:szCs w:val="28"/>
        </w:rPr>
        <w:t xml:space="preserve">Sign-Off</w:t>
      </w:r>
    </w:p>
    <w:p>
      <w:pPr>
        <w:spacing w:after="120" w:before="0" w:line="276"/>
      </w:pPr>
      <w:r>
        <w:rPr>
          <w:rFonts w:ascii="Arial" w:cs="Arial" w:eastAsia="Arial" w:hAnsi="Arial"/>
          <w:color w:val="000000"/>
          <w:sz w:val="22"/>
          <w:szCs w:val="22"/>
        </w:rPr>
        <w:t xml:space="preserve">This document has been approved and authorised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Title]</w:t>
            </w:r>
          </w:p>
        </w:tc>
      </w:tr>
      <w:tr>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Approved</w:t>
            </w:r>
          </w:p>
        </w:tc>
        <w:tc>
          <w:tcPr>
            <w:tcW w:type="dxa" w:w="23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Next Review</w:t>
            </w:r>
          </w:p>
        </w:tc>
      </w:tr>
      <w:tr>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Name]</w:t>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
            </w:r>
          </w:p>
        </w:tc>
        <w:tc>
          <w:tcPr>
            <w:tcW w:type="dxa" w:w="237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w:t>
            </w:r>
          </w:p>
        </w:tc>
        <w:tc>
          <w:tcPr>
            <w:tcW w:type="dxa" w:w="237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000000"/>
                <w:sz w:val="18"/>
                <w:szCs w:val="18"/>
              </w:rPr>
              <w:t xml:space="preserve">[Insert Date + 12 months]</w:t>
            </w:r>
          </w:p>
        </w:tc>
      </w:tr>
    </w:tbl>
    <w:p>
      <w:pPr>
        <w:spacing w:before="300"/>
      </w:pPr>
    </w:p>
    <w:p>
      <w:pPr>
        <w:pBdr>
          <w:top w:val="single" w:color="D4AF37" w:sz="4" w:space="8"/>
          <w:bottom w:val="single" w:color="D4AF37" w:sz="4" w:space="8"/>
        </w:pBdr>
        <w:spacing w:after="200" w:before="200"/>
        <w:jc w:val="center"/>
      </w:pPr>
      <w:r>
        <w:rPr>
          <w:rFonts w:ascii="Arial" w:cs="Arial" w:eastAsia="Arial" w:hAnsi="Arial"/>
          <w:b/>
          <w:bCs/>
          <w:color w:val="0B1D3A"/>
          <w:sz w:val="20"/>
          <w:szCs w:val="20"/>
        </w:rPr>
        <w:t xml:space="preserve">END OF DOCUMENT</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space="4"/>
      </w:pBdr>
      <w:jc w:val="center"/>
    </w:pPr>
    <w:r>
      <w:rPr>
        <w:rFonts w:ascii="Arial" w:cs="Arial" w:eastAsia="Arial" w:hAnsi="Arial"/>
        <w:color w:val="999999"/>
        <w:sz w:val="14"/>
        <w:szCs w:val="14"/>
      </w:rPr>
      <w:t xml:space="preserve">© Barker Scott Ltd  |  barker-scott.co.uk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spacing w:after="100"/>
    </w:pPr>
    <w:r>
      <w:drawing>
        <wp:inline distT="0" distB="0" distL="0" distR="0">
          <wp:extent cx="190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76250"/>
                  </a:xfrm>
                  <a:prstGeom prst="rect">
                    <a:avLst/>
                  </a:prstGeom>
                </pic:spPr>
              </pic:pic>
            </a:graphicData>
          </a:graphic>
        </wp:inline>
      </w:drawing>
    </w:r>
    <w:r>
      <w:rPr>
        <w:rFonts w:ascii="Arial" w:cs="Arial" w:eastAsia="Arial" w:hAnsi="Arial"/>
        <w:color w:val="5B4A00"/>
        <w:sz w:val="16"/>
        <w:szCs w:val="16"/>
      </w:rPr>
      <w:t xml:space="preserve">  |  Health &amp; Safety Policy  |  POL-AC-07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da36e21feb3d2f69d01492dd41e26580fc8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deda36e21feb3d2f69d01492dd41e26580fc8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2026-05-15T09:04:37.866Z</dcterms:created>
  <dcterms:modified xsi:type="dcterms:W3CDTF">2026-05-15T09:04:37.866Z</dcterms:modified>
</cp:coreProperties>
</file>

<file path=docProps/custom.xml><?xml version="1.0" encoding="utf-8"?>
<Properties xmlns="http://schemas.openxmlformats.org/officeDocument/2006/custom-properties" xmlns:vt="http://schemas.openxmlformats.org/officeDocument/2006/docPropsVTypes"/>
</file>