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33337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838200"/>
                    </a:xfrm>
                    <a:prstGeom prst="rect">
                      <a:avLst/>
                    </a:prstGeom>
                  </pic:spPr>
                </pic:pic>
              </a:graphicData>
            </a:graphic>
          </wp:inline>
        </w:drawing>
      </w:r>
    </w:p>
    <w:p>
      <w:pPr>
        <w:spacing w:before="600"/>
      </w:pPr>
    </w:p>
    <w:p>
      <w:pPr>
        <w:spacing w:after="200"/>
        <w:jc w:val="center"/>
      </w:pPr>
      <w:r>
        <w:rPr>
          <w:rFonts w:ascii="Arial" w:cs="Arial" w:eastAsia="Arial" w:hAnsi="Arial"/>
          <w:b/>
          <w:bCs/>
          <w:color w:val="0B1D3A"/>
          <w:sz w:val="48"/>
          <w:szCs w:val="48"/>
        </w:rPr>
        <w:t xml:space="preserve">Infection Control Policy</w:t>
      </w:r>
    </w:p>
    <w:p>
      <w:pPr>
        <w:spacing w:after="400"/>
        <w:jc w:val="center"/>
      </w:pPr>
      <w:r>
        <w:rPr>
          <w:rFonts w:ascii="Arial" w:cs="Arial" w:eastAsia="Arial" w:hAnsi="Arial"/>
          <w:b/>
          <w:bCs/>
          <w:color w:val="D4AF37"/>
          <w:sz w:val="20"/>
          <w:szCs w:val="20"/>
        </w:rPr>
        <w:t xml:space="preserve">Health and Social Care Act 2008  |  COSHH 2002  |  CQC Regulation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Document Reference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POL-AC-02</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 + 12 months]</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Organisation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Applies To</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Trigger</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Organisation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All practitioners, clinical and non-clinical staff</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Name], [Insert Title]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Annually, on outbreak, or on regulatory change</w:t>
            </w:r>
          </w:p>
        </w:tc>
      </w:tr>
    </w:tbl>
    <w:p>
      <w:pPr>
        <w:spacing w:before="300"/>
      </w:pPr>
    </w:p>
    <w:p>
      <w:pPr>
        <w:spacing w:after="120" w:before="0" w:line="276"/>
        <w:jc w:val="center"/>
      </w:pPr>
      <w:r>
        <w:rPr>
          <w:rFonts w:ascii="Arial" w:cs="Arial" w:eastAsia="Arial" w:hAnsi="Arial"/>
          <w:b/>
          <w:bCs/>
          <w:color w:val="0B1D3A"/>
          <w:sz w:val="20"/>
          <w:szCs w:val="20"/>
        </w:rPr>
        <w:t xml:space="preserve">CONFIDENTIALITY NOTICE</w:t>
      </w:r>
    </w:p>
    <w:p>
      <w:pPr>
        <w:spacing w:after="120" w:before="0" w:line="276"/>
        <w:jc w:val="center"/>
      </w:pPr>
      <w:r>
        <w:rPr>
          <w:rFonts w:ascii="Arial" w:cs="Arial" w:eastAsia="Arial" w:hAnsi="Arial"/>
          <w:color w:val="000000"/>
          <w:sz w:val="22"/>
          <w:szCs w:val="22"/>
        </w:rPr>
        <w:t xml:space="preserve">This document and the information contained therein is the property of [Insert Organisation Name]. It must not be reproduced or disclosed without prior written consent.</w:t>
      </w:r>
    </w:p>
    <w:p>
      <w:r>
        <w:br w:type="page"/>
      </w:r>
    </w:p>
    <w:p>
      <w:pPr>
        <w:pBdr>
          <w:bottom w:val="single" w:color="D4AF37" w:sz="2" w:space="4"/>
        </w:pBdr>
        <w:spacing w:after="150" w:before="300"/>
      </w:pPr>
      <w:r>
        <w:rPr>
          <w:rFonts w:ascii="Arial" w:cs="Arial" w:eastAsia="Arial" w:hAnsi="Arial"/>
          <w:b/>
          <w:bCs/>
          <w:color w:val="0B1D3A"/>
          <w:sz w:val="28"/>
          <w:szCs w:val="28"/>
        </w:rPr>
        <w:t xml:space="preserve">1. Introduction and Purpose</w:t>
      </w:r>
    </w:p>
    <w:p>
      <w:pPr>
        <w:spacing w:after="120" w:before="0" w:line="276"/>
      </w:pPr>
      <w:r>
        <w:rPr>
          <w:rFonts w:ascii="Arial" w:cs="Arial" w:eastAsia="Arial" w:hAnsi="Arial"/>
          <w:color w:val="000000"/>
          <w:sz w:val="22"/>
          <w:szCs w:val="22"/>
        </w:rPr>
        <w:t xml:space="preserve">[Insert Organisation Name] is committed to preventing and controlling the spread of infection in order to protect clients, staff and visitors. This policy sets out the organisation’s approach to infection prevention and control (IPC) in the aesthetic clinic setting, in compliance with the Health and Social Care Act 2008, the CQC Fundamental Standards and current Public Health England guidance.</w:t>
      </w:r>
    </w:p>
    <w:p>
      <w:pPr>
        <w:pBdr>
          <w:bottom w:val="single" w:color="D4AF37" w:sz="2" w:space="4"/>
        </w:pBdr>
        <w:spacing w:after="150" w:before="300"/>
      </w:pPr>
      <w:r>
        <w:rPr>
          <w:rFonts w:ascii="Arial" w:cs="Arial" w:eastAsia="Arial" w:hAnsi="Arial"/>
          <w:b/>
          <w:bCs/>
          <w:color w:val="0B1D3A"/>
          <w:sz w:val="28"/>
          <w:szCs w:val="28"/>
        </w:rPr>
        <w:t xml:space="preserve">2. Legal Framework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Legislation</w:t>
            </w:r>
          </w:p>
        </w:tc>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Health and Social Care Act 2008</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CQC Regulation 12 — Safe care and treatment, including infection prevention and control</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The Hygiene Code 2015</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10 criteria for IPC compliance that CQC-registered providers must meet</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COSHH Regulations 2002</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Assessment and control of hazardous substances including biological agents and cleaning chemicals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Health and Safety at Work Act 1974</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General duty to ensure health, safety and welfare of employees and others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Environmental Protection Act 1990</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Safe disposal of clinical and hazardous waste</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Personal Protective Equipment Regulations 1992</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Provision of suitable PPE free of charge</w:t>
            </w:r>
          </w:p>
        </w:tc>
      </w:tr>
    </w:tbl>
    <w:p>
      <w:pPr>
        <w:pBdr>
          <w:bottom w:val="single" w:color="D4AF37" w:sz="2" w:space="4"/>
        </w:pBdr>
        <w:spacing w:after="150" w:before="300"/>
      </w:pPr>
      <w:r>
        <w:rPr>
          <w:rFonts w:ascii="Arial" w:cs="Arial" w:eastAsia="Arial" w:hAnsi="Arial"/>
          <w:b/>
          <w:bCs/>
          <w:color w:val="0B1D3A"/>
          <w:sz w:val="28"/>
          <w:szCs w:val="28"/>
        </w:rPr>
        <w:t xml:space="preserve">3. Standard Precautions</w:t>
      </w:r>
    </w:p>
    <w:p>
      <w:pPr>
        <w:spacing w:after="120" w:before="0" w:line="276"/>
      </w:pPr>
      <w:r>
        <w:rPr>
          <w:rFonts w:ascii="Arial" w:cs="Arial" w:eastAsia="Arial" w:hAnsi="Arial"/>
          <w:color w:val="000000"/>
          <w:sz w:val="22"/>
          <w:szCs w:val="22"/>
        </w:rPr>
        <w:t xml:space="preserve">The following standard infection control precautions must be applied at all times:</w:t>
      </w:r>
    </w:p>
    <w:p>
      <w:pPr>
        <w:pStyle w:val="ListParagraph"/>
        <w:numPr>
          <w:ilvl w:val="0"/>
          <w:numId w:val="2"/>
        </w:numPr>
      </w:pPr>
      <w:r>
        <w:rPr>
          <w:rFonts w:ascii="Arial" w:cs="Arial" w:eastAsia="Arial" w:hAnsi="Arial"/>
          <w:color w:val="000000"/>
          <w:sz w:val="22"/>
          <w:szCs w:val="22"/>
        </w:rPr>
        <w:t xml:space="preserve">Hand hygiene before and after every client contact, using liquid soap and water or alcohol-based hand rub</w:t>
      </w:r>
    </w:p>
    <w:p>
      <w:pPr>
        <w:pStyle w:val="ListParagraph"/>
        <w:numPr>
          <w:ilvl w:val="0"/>
          <w:numId w:val="2"/>
        </w:numPr>
      </w:pPr>
      <w:r>
        <w:rPr>
          <w:rFonts w:ascii="Arial" w:cs="Arial" w:eastAsia="Arial" w:hAnsi="Arial"/>
          <w:color w:val="000000"/>
          <w:sz w:val="22"/>
          <w:szCs w:val="22"/>
        </w:rPr>
        <w:t xml:space="preserve">Use of single-use disposable gloves for all procedures involving skin penetration or contact with body fluids</w:t>
      </w:r>
    </w:p>
    <w:p>
      <w:pPr>
        <w:pStyle w:val="ListParagraph"/>
        <w:numPr>
          <w:ilvl w:val="0"/>
          <w:numId w:val="2"/>
        </w:numPr>
      </w:pPr>
      <w:r>
        <w:rPr>
          <w:rFonts w:ascii="Arial" w:cs="Arial" w:eastAsia="Arial" w:hAnsi="Arial"/>
          <w:color w:val="000000"/>
          <w:sz w:val="22"/>
          <w:szCs w:val="22"/>
        </w:rPr>
        <w:t xml:space="preserve">Use of disposable aprons where there is a risk of contamination</w:t>
      </w:r>
    </w:p>
    <w:p>
      <w:pPr>
        <w:pStyle w:val="ListParagraph"/>
        <w:numPr>
          <w:ilvl w:val="0"/>
          <w:numId w:val="2"/>
        </w:numPr>
      </w:pPr>
      <w:r>
        <w:rPr>
          <w:rFonts w:ascii="Arial" w:cs="Arial" w:eastAsia="Arial" w:hAnsi="Arial"/>
          <w:color w:val="000000"/>
          <w:sz w:val="22"/>
          <w:szCs w:val="22"/>
        </w:rPr>
        <w:t xml:space="preserve">Use of face masks and eye protection where there is a risk of splash or aerosol generation</w:t>
      </w:r>
    </w:p>
    <w:p>
      <w:pPr>
        <w:pStyle w:val="ListParagraph"/>
        <w:numPr>
          <w:ilvl w:val="0"/>
          <w:numId w:val="2"/>
        </w:numPr>
      </w:pPr>
      <w:r>
        <w:rPr>
          <w:rFonts w:ascii="Arial" w:cs="Arial" w:eastAsia="Arial" w:hAnsi="Arial"/>
          <w:color w:val="000000"/>
          <w:sz w:val="22"/>
          <w:szCs w:val="22"/>
        </w:rPr>
        <w:t xml:space="preserve">Safe handling and disposal of sharps into BS 7320 compliant sharps containers</w:t>
      </w:r>
    </w:p>
    <w:p>
      <w:pPr>
        <w:pStyle w:val="ListParagraph"/>
        <w:numPr>
          <w:ilvl w:val="0"/>
          <w:numId w:val="2"/>
        </w:numPr>
      </w:pPr>
      <w:r>
        <w:rPr>
          <w:rFonts w:ascii="Arial" w:cs="Arial" w:eastAsia="Arial" w:hAnsi="Arial"/>
          <w:color w:val="000000"/>
          <w:sz w:val="22"/>
          <w:szCs w:val="22"/>
        </w:rPr>
        <w:t xml:space="preserve">Safe disposal of clinical waste using colour-coded waste streams</w:t>
      </w:r>
    </w:p>
    <w:p>
      <w:pPr>
        <w:pStyle w:val="ListParagraph"/>
        <w:numPr>
          <w:ilvl w:val="0"/>
          <w:numId w:val="2"/>
        </w:numPr>
      </w:pPr>
      <w:r>
        <w:rPr>
          <w:rFonts w:ascii="Arial" w:cs="Arial" w:eastAsia="Arial" w:hAnsi="Arial"/>
          <w:color w:val="000000"/>
          <w:sz w:val="22"/>
          <w:szCs w:val="22"/>
        </w:rPr>
        <w:t xml:space="preserve">Cleaning and disinfection of treatment rooms between clients</w:t>
      </w:r>
    </w:p>
    <w:p>
      <w:pPr>
        <w:pStyle w:val="ListParagraph"/>
        <w:numPr>
          <w:ilvl w:val="0"/>
          <w:numId w:val="2"/>
        </w:numPr>
      </w:pPr>
      <w:r>
        <w:rPr>
          <w:rFonts w:ascii="Arial" w:cs="Arial" w:eastAsia="Arial" w:hAnsi="Arial"/>
          <w:color w:val="000000"/>
          <w:sz w:val="22"/>
          <w:szCs w:val="22"/>
        </w:rPr>
        <w:t xml:space="preserve">Single-use items must never be reused</w:t>
      </w:r>
    </w:p>
    <w:p>
      <w:pPr>
        <w:pBdr>
          <w:bottom w:val="single" w:color="D4AF37" w:sz="2" w:space="4"/>
        </w:pBdr>
        <w:spacing w:after="150" w:before="300"/>
      </w:pPr>
      <w:r>
        <w:rPr>
          <w:rFonts w:ascii="Arial" w:cs="Arial" w:eastAsia="Arial" w:hAnsi="Arial"/>
          <w:b/>
          <w:bCs/>
          <w:color w:val="0B1D3A"/>
          <w:sz w:val="28"/>
          <w:szCs w:val="28"/>
        </w:rPr>
        <w:t xml:space="preserve">4. Treatment Room Standards</w:t>
      </w:r>
    </w:p>
    <w:p>
      <w:pPr>
        <w:pStyle w:val="ListParagraph"/>
        <w:numPr>
          <w:ilvl w:val="0"/>
          <w:numId w:val="3"/>
        </w:numPr>
      </w:pPr>
      <w:r>
        <w:rPr>
          <w:rFonts w:ascii="Arial" w:cs="Arial" w:eastAsia="Arial" w:hAnsi="Arial"/>
          <w:color w:val="000000"/>
          <w:sz w:val="22"/>
          <w:szCs w:val="22"/>
        </w:rPr>
        <w:t xml:space="preserve">Treatment rooms must be cleaned and disinfected between each client</w:t>
      </w:r>
    </w:p>
    <w:p>
      <w:pPr>
        <w:pStyle w:val="ListParagraph"/>
        <w:numPr>
          <w:ilvl w:val="0"/>
          <w:numId w:val="3"/>
        </w:numPr>
      </w:pPr>
      <w:r>
        <w:rPr>
          <w:rFonts w:ascii="Arial" w:cs="Arial" w:eastAsia="Arial" w:hAnsi="Arial"/>
          <w:color w:val="000000"/>
          <w:sz w:val="22"/>
          <w:szCs w:val="22"/>
        </w:rPr>
        <w:t xml:space="preserve">Treatment couches must be covered with disposable couch roll, changed between clients</w:t>
      </w:r>
    </w:p>
    <w:p>
      <w:pPr>
        <w:pStyle w:val="ListParagraph"/>
        <w:numPr>
          <w:ilvl w:val="0"/>
          <w:numId w:val="3"/>
        </w:numPr>
      </w:pPr>
      <w:r>
        <w:rPr>
          <w:rFonts w:ascii="Arial" w:cs="Arial" w:eastAsia="Arial" w:hAnsi="Arial"/>
          <w:color w:val="000000"/>
          <w:sz w:val="22"/>
          <w:szCs w:val="22"/>
        </w:rPr>
        <w:t xml:space="preserve">Surfaces must be cleaned with a chlorine-based disinfectant or equivalent</w:t>
      </w:r>
    </w:p>
    <w:p>
      <w:pPr>
        <w:pStyle w:val="ListParagraph"/>
        <w:numPr>
          <w:ilvl w:val="0"/>
          <w:numId w:val="3"/>
        </w:numPr>
      </w:pPr>
      <w:r>
        <w:rPr>
          <w:rFonts w:ascii="Arial" w:cs="Arial" w:eastAsia="Arial" w:hAnsi="Arial"/>
          <w:color w:val="000000"/>
          <w:sz w:val="22"/>
          <w:szCs w:val="22"/>
        </w:rPr>
        <w:t xml:space="preserve">Hand-washing facilities must be available in or adjacent to each treatment room</w:t>
      </w:r>
    </w:p>
    <w:p>
      <w:pPr>
        <w:pStyle w:val="ListParagraph"/>
        <w:numPr>
          <w:ilvl w:val="0"/>
          <w:numId w:val="3"/>
        </w:numPr>
      </w:pPr>
      <w:r>
        <w:rPr>
          <w:rFonts w:ascii="Arial" w:cs="Arial" w:eastAsia="Arial" w:hAnsi="Arial"/>
          <w:color w:val="000000"/>
          <w:sz w:val="22"/>
          <w:szCs w:val="22"/>
        </w:rPr>
        <w:t xml:space="preserve">Sharps bins must be available in each treatment room where sharps are used</w:t>
      </w:r>
    </w:p>
    <w:p>
      <w:pPr>
        <w:pStyle w:val="ListParagraph"/>
        <w:numPr>
          <w:ilvl w:val="0"/>
          <w:numId w:val="3"/>
        </w:numPr>
      </w:pPr>
      <w:r>
        <w:rPr>
          <w:rFonts w:ascii="Arial" w:cs="Arial" w:eastAsia="Arial" w:hAnsi="Arial"/>
          <w:color w:val="000000"/>
          <w:sz w:val="22"/>
          <w:szCs w:val="22"/>
        </w:rPr>
        <w:t xml:space="preserve">Products and consumables must be stored in clean, dry conditions away from direct sunlight</w:t>
      </w:r>
    </w:p>
    <w:p>
      <w:pPr>
        <w:pStyle w:val="ListParagraph"/>
        <w:numPr>
          <w:ilvl w:val="0"/>
          <w:numId w:val="3"/>
        </w:numPr>
      </w:pPr>
      <w:r>
        <w:rPr>
          <w:rFonts w:ascii="Arial" w:cs="Arial" w:eastAsia="Arial" w:hAnsi="Arial"/>
          <w:color w:val="000000"/>
          <w:sz w:val="22"/>
          <w:szCs w:val="22"/>
        </w:rPr>
        <w:t xml:space="preserve">Treatment rooms must be well-ventilated and maintained in good repair</w:t>
      </w:r>
    </w:p>
    <w:p>
      <w:pPr>
        <w:pBdr>
          <w:bottom w:val="single" w:color="D4AF37" w:sz="2" w:space="4"/>
        </w:pBdr>
        <w:spacing w:after="150" w:before="300"/>
      </w:pPr>
      <w:r>
        <w:rPr>
          <w:rFonts w:ascii="Arial" w:cs="Arial" w:eastAsia="Arial" w:hAnsi="Arial"/>
          <w:b/>
          <w:bCs/>
          <w:color w:val="0B1D3A"/>
          <w:sz w:val="28"/>
          <w:szCs w:val="28"/>
        </w:rPr>
        <w:t xml:space="preserve">5. Aseptic Technique</w:t>
      </w:r>
    </w:p>
    <w:p>
      <w:pPr>
        <w:spacing w:after="120" w:before="0" w:line="276"/>
      </w:pPr>
      <w:r>
        <w:rPr>
          <w:rFonts w:ascii="Arial" w:cs="Arial" w:eastAsia="Arial" w:hAnsi="Arial"/>
          <w:color w:val="000000"/>
          <w:sz w:val="22"/>
          <w:szCs w:val="22"/>
        </w:rPr>
        <w:t xml:space="preserve">All injectable aesthetic procedures must be carried out using aseptic non-touch technique (ANTT). This includes:</w:t>
      </w:r>
    </w:p>
    <w:p>
      <w:pPr>
        <w:pStyle w:val="ListParagraph"/>
        <w:numPr>
          <w:ilvl w:val="0"/>
          <w:numId w:val="4"/>
        </w:numPr>
      </w:pPr>
      <w:r>
        <w:rPr>
          <w:rFonts w:ascii="Arial" w:cs="Arial" w:eastAsia="Arial" w:hAnsi="Arial"/>
          <w:color w:val="000000"/>
          <w:sz w:val="22"/>
          <w:szCs w:val="22"/>
        </w:rPr>
        <w:t xml:space="preserve">Decontamination of hands immediately before the procedure</w:t>
      </w:r>
    </w:p>
    <w:p>
      <w:pPr>
        <w:pStyle w:val="ListParagraph"/>
        <w:numPr>
          <w:ilvl w:val="0"/>
          <w:numId w:val="4"/>
        </w:numPr>
      </w:pPr>
      <w:r>
        <w:rPr>
          <w:rFonts w:ascii="Arial" w:cs="Arial" w:eastAsia="Arial" w:hAnsi="Arial"/>
          <w:color w:val="000000"/>
          <w:sz w:val="22"/>
          <w:szCs w:val="22"/>
        </w:rPr>
        <w:t xml:space="preserve">Preparation of a clean field for equipment and products</w:t>
      </w:r>
    </w:p>
    <w:p>
      <w:pPr>
        <w:pStyle w:val="ListParagraph"/>
        <w:numPr>
          <w:ilvl w:val="0"/>
          <w:numId w:val="4"/>
        </w:numPr>
      </w:pPr>
      <w:r>
        <w:rPr>
          <w:rFonts w:ascii="Arial" w:cs="Arial" w:eastAsia="Arial" w:hAnsi="Arial"/>
          <w:color w:val="000000"/>
          <w:sz w:val="22"/>
          <w:szCs w:val="22"/>
        </w:rPr>
        <w:t xml:space="preserve">Skin preparation of the treatment site with an appropriate antiseptic (e.g. chlorhexidine 2% in 70% isopropyl alcohol)</w:t>
      </w:r>
    </w:p>
    <w:p>
      <w:pPr>
        <w:pStyle w:val="ListParagraph"/>
        <w:numPr>
          <w:ilvl w:val="0"/>
          <w:numId w:val="4"/>
        </w:numPr>
      </w:pPr>
      <w:r>
        <w:rPr>
          <w:rFonts w:ascii="Arial" w:cs="Arial" w:eastAsia="Arial" w:hAnsi="Arial"/>
          <w:color w:val="000000"/>
          <w:sz w:val="22"/>
          <w:szCs w:val="22"/>
        </w:rPr>
        <w:t xml:space="preserve">Avoidance of touching key parts of equipment (needle tips, syringe tips, vial septums)</w:t>
      </w:r>
    </w:p>
    <w:p>
      <w:pPr>
        <w:pStyle w:val="ListParagraph"/>
        <w:numPr>
          <w:ilvl w:val="0"/>
          <w:numId w:val="4"/>
        </w:numPr>
      </w:pPr>
      <w:r>
        <w:rPr>
          <w:rFonts w:ascii="Arial" w:cs="Arial" w:eastAsia="Arial" w:hAnsi="Arial"/>
          <w:color w:val="000000"/>
          <w:sz w:val="22"/>
          <w:szCs w:val="22"/>
        </w:rPr>
        <w:t xml:space="preserve">Use of single-use, sterile needles and cannulae</w:t>
      </w:r>
    </w:p>
    <w:p>
      <w:pPr>
        <w:pStyle w:val="ListParagraph"/>
        <w:numPr>
          <w:ilvl w:val="0"/>
          <w:numId w:val="4"/>
        </w:numPr>
      </w:pPr>
      <w:r>
        <w:rPr>
          <w:rFonts w:ascii="Arial" w:cs="Arial" w:eastAsia="Arial" w:hAnsi="Arial"/>
          <w:color w:val="000000"/>
          <w:sz w:val="22"/>
          <w:szCs w:val="22"/>
        </w:rPr>
        <w:t xml:space="preserve">Disposal of all sharps and waste immediately after the procedure</w:t>
      </w:r>
    </w:p>
    <w:p>
      <w:pPr>
        <w:pBdr>
          <w:bottom w:val="single" w:color="D4AF37" w:sz="2" w:space="4"/>
        </w:pBdr>
        <w:spacing w:after="150" w:before="300"/>
      </w:pPr>
      <w:r>
        <w:rPr>
          <w:rFonts w:ascii="Arial" w:cs="Arial" w:eastAsia="Arial" w:hAnsi="Arial"/>
          <w:b/>
          <w:bCs/>
          <w:color w:val="0B1D3A"/>
          <w:sz w:val="28"/>
          <w:szCs w:val="28"/>
        </w:rPr>
        <w:t xml:space="preserve">6. Product Management</w:t>
      </w:r>
    </w:p>
    <w:p>
      <w:pPr>
        <w:pStyle w:val="ListParagraph"/>
        <w:numPr>
          <w:ilvl w:val="0"/>
          <w:numId w:val="5"/>
        </w:numPr>
      </w:pPr>
      <w:r>
        <w:rPr>
          <w:rFonts w:ascii="Arial" w:cs="Arial" w:eastAsia="Arial" w:hAnsi="Arial"/>
          <w:color w:val="000000"/>
          <w:sz w:val="22"/>
          <w:szCs w:val="22"/>
        </w:rPr>
        <w:t xml:space="preserve">All injectable products must be sourced from authorised UK suppliers and be CE/UKCA marked</w:t>
      </w:r>
    </w:p>
    <w:p>
      <w:pPr>
        <w:pStyle w:val="ListParagraph"/>
        <w:numPr>
          <w:ilvl w:val="0"/>
          <w:numId w:val="5"/>
        </w:numPr>
      </w:pPr>
      <w:r>
        <w:rPr>
          <w:rFonts w:ascii="Arial" w:cs="Arial" w:eastAsia="Arial" w:hAnsi="Arial"/>
          <w:color w:val="000000"/>
          <w:sz w:val="22"/>
          <w:szCs w:val="22"/>
        </w:rPr>
        <w:t xml:space="preserve">Products must be stored in accordance with manufacturer’s instructions (including temperature requirements)</w:t>
      </w:r>
    </w:p>
    <w:p>
      <w:pPr>
        <w:pStyle w:val="ListParagraph"/>
        <w:numPr>
          <w:ilvl w:val="0"/>
          <w:numId w:val="5"/>
        </w:numPr>
      </w:pPr>
      <w:r>
        <w:rPr>
          <w:rFonts w:ascii="Arial" w:cs="Arial" w:eastAsia="Arial" w:hAnsi="Arial"/>
          <w:color w:val="000000"/>
          <w:sz w:val="22"/>
          <w:szCs w:val="22"/>
        </w:rPr>
        <w:t xml:space="preserve">Batch numbers and expiry dates must be recorded for every product administered</w:t>
      </w:r>
    </w:p>
    <w:p>
      <w:pPr>
        <w:pStyle w:val="ListParagraph"/>
        <w:numPr>
          <w:ilvl w:val="0"/>
          <w:numId w:val="5"/>
        </w:numPr>
      </w:pPr>
      <w:r>
        <w:rPr>
          <w:rFonts w:ascii="Arial" w:cs="Arial" w:eastAsia="Arial" w:hAnsi="Arial"/>
          <w:color w:val="000000"/>
          <w:sz w:val="22"/>
          <w:szCs w:val="22"/>
        </w:rPr>
        <w:t xml:space="preserve">Expired or damaged products must not be used and must be disposed of safely</w:t>
      </w:r>
    </w:p>
    <w:p>
      <w:pPr>
        <w:pStyle w:val="ListParagraph"/>
        <w:numPr>
          <w:ilvl w:val="0"/>
          <w:numId w:val="5"/>
        </w:numPr>
      </w:pPr>
      <w:r>
        <w:rPr>
          <w:rFonts w:ascii="Arial" w:cs="Arial" w:eastAsia="Arial" w:hAnsi="Arial"/>
          <w:color w:val="000000"/>
          <w:sz w:val="22"/>
          <w:szCs w:val="22"/>
        </w:rPr>
        <w:t xml:space="preserve">Multi-dose vials must not be used for more than one client</w:t>
      </w:r>
    </w:p>
    <w:p>
      <w:pPr>
        <w:pBdr>
          <w:bottom w:val="single" w:color="D4AF37" w:sz="2" w:space="4"/>
        </w:pBdr>
        <w:spacing w:after="150" w:before="300"/>
      </w:pPr>
      <w:r>
        <w:rPr>
          <w:rFonts w:ascii="Arial" w:cs="Arial" w:eastAsia="Arial" w:hAnsi="Arial"/>
          <w:b/>
          <w:bCs/>
          <w:color w:val="0B1D3A"/>
          <w:sz w:val="28"/>
          <w:szCs w:val="28"/>
        </w:rPr>
        <w:t xml:space="preserve">7. Sharps Management</w:t>
      </w:r>
    </w:p>
    <w:p>
      <w:pPr>
        <w:pStyle w:val="ListParagraph"/>
        <w:numPr>
          <w:ilvl w:val="0"/>
          <w:numId w:val="6"/>
        </w:numPr>
      </w:pPr>
      <w:r>
        <w:rPr>
          <w:rFonts w:ascii="Arial" w:cs="Arial" w:eastAsia="Arial" w:hAnsi="Arial"/>
          <w:color w:val="000000"/>
          <w:sz w:val="22"/>
          <w:szCs w:val="22"/>
        </w:rPr>
        <w:t xml:space="preserve">Sharps must be disposed of immediately into an approved sharps container at the point of use</w:t>
      </w:r>
    </w:p>
    <w:p>
      <w:pPr>
        <w:pStyle w:val="ListParagraph"/>
        <w:numPr>
          <w:ilvl w:val="0"/>
          <w:numId w:val="6"/>
        </w:numPr>
      </w:pPr>
      <w:r>
        <w:rPr>
          <w:rFonts w:ascii="Arial" w:cs="Arial" w:eastAsia="Arial" w:hAnsi="Arial"/>
          <w:color w:val="000000"/>
          <w:sz w:val="22"/>
          <w:szCs w:val="22"/>
        </w:rPr>
        <w:t xml:space="preserve">Needles must never be recapped, bent or broken</w:t>
      </w:r>
    </w:p>
    <w:p>
      <w:pPr>
        <w:pStyle w:val="ListParagraph"/>
        <w:numPr>
          <w:ilvl w:val="0"/>
          <w:numId w:val="6"/>
        </w:numPr>
      </w:pPr>
      <w:r>
        <w:rPr>
          <w:rFonts w:ascii="Arial" w:cs="Arial" w:eastAsia="Arial" w:hAnsi="Arial"/>
          <w:color w:val="000000"/>
          <w:sz w:val="22"/>
          <w:szCs w:val="22"/>
        </w:rPr>
        <w:t xml:space="preserve">Sharps containers must not be filled beyond the fill line</w:t>
      </w:r>
    </w:p>
    <w:p>
      <w:pPr>
        <w:pStyle w:val="ListParagraph"/>
        <w:numPr>
          <w:ilvl w:val="0"/>
          <w:numId w:val="6"/>
        </w:numPr>
      </w:pPr>
      <w:r>
        <w:rPr>
          <w:rFonts w:ascii="Arial" w:cs="Arial" w:eastAsia="Arial" w:hAnsi="Arial"/>
          <w:color w:val="000000"/>
          <w:sz w:val="22"/>
          <w:szCs w:val="22"/>
        </w:rPr>
        <w:t xml:space="preserve">Sharps injuries must be managed immediately: encourage bleeding, wash under running water, apply waterproof dressing, report to manager, complete incident form, seek occupational health advice</w:t>
      </w:r>
    </w:p>
    <w:p>
      <w:pPr>
        <w:pBdr>
          <w:bottom w:val="single" w:color="D4AF37" w:sz="2" w:space="4"/>
        </w:pBdr>
        <w:spacing w:after="150" w:before="300"/>
      </w:pPr>
      <w:r>
        <w:rPr>
          <w:rFonts w:ascii="Arial" w:cs="Arial" w:eastAsia="Arial" w:hAnsi="Arial"/>
          <w:b/>
          <w:bCs/>
          <w:color w:val="0B1D3A"/>
          <w:sz w:val="28"/>
          <w:szCs w:val="28"/>
        </w:rPr>
        <w:t xml:space="preserve">8. Waste Management</w:t>
      </w:r>
    </w:p>
    <w:p>
      <w:pPr>
        <w:pStyle w:val="ListParagraph"/>
        <w:numPr>
          <w:ilvl w:val="0"/>
          <w:numId w:val="7"/>
        </w:numPr>
      </w:pPr>
      <w:r>
        <w:rPr>
          <w:rFonts w:ascii="Arial" w:cs="Arial" w:eastAsia="Arial" w:hAnsi="Arial"/>
          <w:color w:val="000000"/>
          <w:sz w:val="22"/>
          <w:szCs w:val="22"/>
        </w:rPr>
        <w:t xml:space="preserve">Orange bags — infectious clinical waste for treatment/incineration</w:t>
      </w:r>
    </w:p>
    <w:p>
      <w:pPr>
        <w:pStyle w:val="ListParagraph"/>
        <w:numPr>
          <w:ilvl w:val="0"/>
          <w:numId w:val="7"/>
        </w:numPr>
      </w:pPr>
      <w:r>
        <w:rPr>
          <w:rFonts w:ascii="Arial" w:cs="Arial" w:eastAsia="Arial" w:hAnsi="Arial"/>
          <w:color w:val="000000"/>
          <w:sz w:val="22"/>
          <w:szCs w:val="22"/>
        </w:rPr>
        <w:t xml:space="preserve">Yellow bags — highly infectious waste for incineration only</w:t>
      </w:r>
    </w:p>
    <w:p>
      <w:pPr>
        <w:pStyle w:val="ListParagraph"/>
        <w:numPr>
          <w:ilvl w:val="0"/>
          <w:numId w:val="7"/>
        </w:numPr>
      </w:pPr>
      <w:r>
        <w:rPr>
          <w:rFonts w:ascii="Arial" w:cs="Arial" w:eastAsia="Arial" w:hAnsi="Arial"/>
          <w:color w:val="000000"/>
          <w:sz w:val="22"/>
          <w:szCs w:val="22"/>
        </w:rPr>
        <w:t xml:space="preserve">Yellow-lidded sharps bins — sharps contaminated with medicinal products</w:t>
      </w:r>
    </w:p>
    <w:p>
      <w:pPr>
        <w:pStyle w:val="ListParagraph"/>
        <w:numPr>
          <w:ilvl w:val="0"/>
          <w:numId w:val="7"/>
        </w:numPr>
      </w:pPr>
      <w:r>
        <w:rPr>
          <w:rFonts w:ascii="Arial" w:cs="Arial" w:eastAsia="Arial" w:hAnsi="Arial"/>
          <w:color w:val="000000"/>
          <w:sz w:val="22"/>
          <w:szCs w:val="22"/>
        </w:rPr>
        <w:t xml:space="preserve">Black bags — domestic (non-clinical) waste</w:t>
      </w:r>
    </w:p>
    <w:p>
      <w:pPr>
        <w:pStyle w:val="ListParagraph"/>
        <w:numPr>
          <w:ilvl w:val="0"/>
          <w:numId w:val="7"/>
        </w:numPr>
      </w:pPr>
      <w:r>
        <w:rPr>
          <w:rFonts w:ascii="Arial" w:cs="Arial" w:eastAsia="Arial" w:hAnsi="Arial"/>
          <w:color w:val="000000"/>
          <w:sz w:val="22"/>
          <w:szCs w:val="22"/>
        </w:rPr>
        <w:t xml:space="preserve">Waste must be segregated at the point of production</w:t>
      </w:r>
    </w:p>
    <w:p>
      <w:pPr>
        <w:pStyle w:val="ListParagraph"/>
        <w:numPr>
          <w:ilvl w:val="0"/>
          <w:numId w:val="7"/>
        </w:numPr>
      </w:pPr>
      <w:r>
        <w:rPr>
          <w:rFonts w:ascii="Arial" w:cs="Arial" w:eastAsia="Arial" w:hAnsi="Arial"/>
          <w:color w:val="000000"/>
          <w:sz w:val="22"/>
          <w:szCs w:val="22"/>
        </w:rPr>
        <w:t xml:space="preserve">Clinical waste must be collected by a licensed waste contractor</w:t>
      </w:r>
    </w:p>
    <w:p>
      <w:pPr>
        <w:pBdr>
          <w:bottom w:val="single" w:color="D4AF37" w:sz="2" w:space="4"/>
        </w:pBdr>
        <w:spacing w:after="150" w:before="300"/>
      </w:pPr>
      <w:r>
        <w:rPr>
          <w:rFonts w:ascii="Arial" w:cs="Arial" w:eastAsia="Arial" w:hAnsi="Arial"/>
          <w:b/>
          <w:bCs/>
          <w:color w:val="0B1D3A"/>
          <w:sz w:val="28"/>
          <w:szCs w:val="28"/>
        </w:rPr>
        <w:t xml:space="preserve">9. Outbreak Management</w:t>
      </w:r>
    </w:p>
    <w:p>
      <w:pPr>
        <w:spacing w:after="120" w:before="0" w:line="276"/>
      </w:pPr>
      <w:r>
        <w:rPr>
          <w:rFonts w:ascii="Arial" w:cs="Arial" w:eastAsia="Arial" w:hAnsi="Arial"/>
          <w:color w:val="000000"/>
          <w:sz w:val="22"/>
          <w:szCs w:val="22"/>
        </w:rPr>
        <w:t xml:space="preserve">In the event of a suspected infection outbreak, the IPC lead must be notified immediately. Enhanced cleaning must be implemented, affected clients must be contacted, and the incident must be reported to Public Health England and the CQC as required.</w:t>
      </w:r>
    </w:p>
    <w:p>
      <w:pPr>
        <w:pBdr>
          <w:bottom w:val="single" w:color="D4AF37" w:sz="2" w:space="4"/>
        </w:pBdr>
        <w:spacing w:after="150" w:before="300"/>
      </w:pPr>
      <w:r>
        <w:rPr>
          <w:rFonts w:ascii="Arial" w:cs="Arial" w:eastAsia="Arial" w:hAnsi="Arial"/>
          <w:b/>
          <w:bCs/>
          <w:color w:val="0B1D3A"/>
          <w:sz w:val="28"/>
          <w:szCs w:val="28"/>
        </w:rPr>
        <w:t xml:space="preserve">10. Training</w:t>
      </w:r>
    </w:p>
    <w:p>
      <w:pPr>
        <w:spacing w:after="120" w:before="0" w:line="276"/>
      </w:pPr>
      <w:r>
        <w:rPr>
          <w:rFonts w:ascii="Arial" w:cs="Arial" w:eastAsia="Arial" w:hAnsi="Arial"/>
          <w:color w:val="000000"/>
          <w:sz w:val="22"/>
          <w:szCs w:val="22"/>
        </w:rPr>
        <w:t xml:space="preserve">All staff must complete IPC training at induction and annually. Practitioners must demonstrate competence in aseptic technique. Training records must be maintained.</w:t>
      </w:r>
    </w:p>
    <w:p>
      <w:pPr>
        <w:pBdr>
          <w:bottom w:val="single" w:color="D4AF37" w:sz="2" w:space="4"/>
        </w:pBdr>
        <w:spacing w:after="150" w:before="300"/>
      </w:pPr>
      <w:r>
        <w:rPr>
          <w:rFonts w:ascii="Arial" w:cs="Arial" w:eastAsia="Arial" w:hAnsi="Arial"/>
          <w:b/>
          <w:bCs/>
          <w:color w:val="0B1D3A"/>
          <w:sz w:val="28"/>
          <w:szCs w:val="28"/>
        </w:rPr>
        <w:t xml:space="preserve">11. Audit and Monitoring</w:t>
      </w:r>
    </w:p>
    <w:p>
      <w:pPr>
        <w:spacing w:after="120" w:before="0" w:line="276"/>
      </w:pPr>
      <w:r>
        <w:rPr>
          <w:rFonts w:ascii="Arial" w:cs="Arial" w:eastAsia="Arial" w:hAnsi="Arial"/>
          <w:color w:val="000000"/>
          <w:sz w:val="22"/>
          <w:szCs w:val="22"/>
        </w:rPr>
        <w:t xml:space="preserve">IPC compliance will be monitored through monthly hand hygiene audits, quarterly environmental audits, and annual review against the Hygiene Code.</w:t>
      </w:r>
    </w:p>
    <w:p>
      <w:pPr>
        <w:pBdr>
          <w:bottom w:val="single" w:color="D4AF37" w:sz="2" w:space="4"/>
        </w:pBdr>
        <w:spacing w:after="150" w:before="300"/>
      </w:pPr>
      <w:r>
        <w:rPr>
          <w:rFonts w:ascii="Arial" w:cs="Arial" w:eastAsia="Arial" w:hAnsi="Arial"/>
          <w:b/>
          <w:bCs/>
          <w:color w:val="0B1D3A"/>
          <w:sz w:val="28"/>
          <w:szCs w:val="28"/>
        </w:rPr>
        <w:t xml:space="preserve">12. Responsibilities</w:t>
      </w:r>
    </w:p>
    <w:p>
      <w:pPr>
        <w:spacing w:after="120" w:before="0" w:line="276"/>
      </w:pPr>
      <w:r>
        <w:rPr>
          <w:rFonts w:ascii="Arial" w:cs="Arial" w:eastAsia="Arial" w:hAnsi="Arial"/>
          <w:color w:val="000000"/>
          <w:sz w:val="22"/>
          <w:szCs w:val="22"/>
        </w:rPr>
        <w:t xml:space="preserve">The IPC Lead for [Insert Organisation Name] is [Insert Name], [Insert Title]. The IPC Lead is responsible for implementing this policy, training staff, conducting audits and managing outbreaks. All staff are responsible for complying with IPC procedures at all times.</w:t>
      </w:r>
    </w:p>
    <w:p>
      <w:r>
        <w:br w:type="page"/>
      </w:r>
    </w:p>
    <w:p>
      <w:pPr>
        <w:pBdr>
          <w:bottom w:val="single" w:color="D4AF37" w:sz="2" w:space="4"/>
        </w:pBdr>
        <w:spacing w:after="150" w:before="300"/>
      </w:pPr>
      <w:r>
        <w:rPr>
          <w:rFonts w:ascii="Arial" w:cs="Arial" w:eastAsia="Arial" w:hAnsi="Arial"/>
          <w:b/>
          <w:bCs/>
          <w:color w:val="0B1D3A"/>
          <w:sz w:val="28"/>
          <w:szCs w:val="28"/>
        </w:rPr>
        <w:t xml:space="preserve">Sign-Off</w:t>
      </w:r>
    </w:p>
    <w:p>
      <w:pPr>
        <w:spacing w:after="120" w:before="0" w:line="276"/>
      </w:pPr>
      <w:r>
        <w:rPr>
          <w:rFonts w:ascii="Arial" w:cs="Arial" w:eastAsia="Arial" w:hAnsi="Arial"/>
          <w:color w:val="000000"/>
          <w:sz w:val="22"/>
          <w:szCs w:val="22"/>
        </w:rPr>
        <w:t xml:space="preserve">This document has been approved and authorised by: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Title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Title]</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Approved</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Next Review</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 + 12 months]</w:t>
            </w:r>
          </w:p>
        </w:tc>
      </w:tr>
    </w:tbl>
    <w:p>
      <w:pPr>
        <w:spacing w:before="300"/>
      </w:pPr>
    </w:p>
    <w:p>
      <w:pPr>
        <w:pBdr>
          <w:top w:val="single" w:color="D4AF37" w:sz="4" w:space="8"/>
          <w:bottom w:val="single" w:color="D4AF37" w:sz="4" w:space="8"/>
        </w:pBdr>
        <w:spacing w:after="200" w:before="200"/>
        <w:jc w:val="center"/>
      </w:pPr>
      <w:r>
        <w:rPr>
          <w:rFonts w:ascii="Arial" w:cs="Arial" w:eastAsia="Arial" w:hAnsi="Arial"/>
          <w:b/>
          <w:bCs/>
          <w:color w:val="0B1D3A"/>
          <w:sz w:val="20"/>
          <w:szCs w:val="20"/>
        </w:rPr>
        <w:t xml:space="preserve">END OF DOCUMENT</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2" w:space="4"/>
      </w:pBdr>
      <w:jc w:val="center"/>
    </w:pPr>
    <w:r>
      <w:rPr>
        <w:rFonts w:ascii="Arial" w:cs="Arial" w:eastAsia="Arial" w:hAnsi="Arial"/>
        <w:color w:val="999999"/>
        <w:sz w:val="14"/>
        <w:szCs w:val="14"/>
      </w:rPr>
      <w:t xml:space="preserve">© Barker Scott Ltd  |  barker-scott.co.uk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100"/>
    </w:pPr>
    <w:r>
      <w:drawing>
        <wp:inline distT="0" distB="0" distL="0" distR="0">
          <wp:extent cx="1905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476250"/>
                  </a:xfrm>
                  <a:prstGeom prst="rect">
                    <a:avLst/>
                  </a:prstGeom>
                </pic:spPr>
              </pic:pic>
            </a:graphicData>
          </a:graphic>
        </wp:inline>
      </w:drawing>
    </w:r>
    <w:r>
      <w:rPr>
        <w:rFonts w:ascii="Arial" w:cs="Arial" w:eastAsia="Arial" w:hAnsi="Arial"/>
        <w:color w:val="5B4A00"/>
        <w:sz w:val="16"/>
        <w:szCs w:val="16"/>
      </w:rPr>
      <w:t xml:space="preserve">  |  Infection Control Policy  |  POL-AC-02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eda36e21feb3d2f69d01492dd41e26580fc81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deda36e21feb3d2f69d01492dd41e26580fc8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2026-05-15T09:04:37.454Z</dcterms:created>
  <dcterms:modified xsi:type="dcterms:W3CDTF">2026-05-15T09:04:37.454Z</dcterms:modified>
</cp:coreProperties>
</file>

<file path=docProps/custom.xml><?xml version="1.0" encoding="utf-8"?>
<Properties xmlns="http://schemas.openxmlformats.org/officeDocument/2006/custom-properties" xmlns:vt="http://schemas.openxmlformats.org/officeDocument/2006/docPropsVTypes"/>
</file>