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drawing>
          <wp:inline distT="0" distB="0" distL="0" distR="0">
            <wp:extent cx="333375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33750" cy="838200"/>
                    </a:xfrm>
                    <a:prstGeom prst="rect">
                      <a:avLst/>
                    </a:prstGeom>
                  </pic:spPr>
                </pic:pic>
              </a:graphicData>
            </a:graphic>
          </wp:inline>
        </w:drawing>
      </w:r>
    </w:p>
    <w:p>
      <w:pPr>
        <w:spacing w:before="600"/>
      </w:pPr>
    </w:p>
    <w:p>
      <w:pPr>
        <w:spacing w:after="200"/>
        <w:jc w:val="center"/>
      </w:pPr>
      <w:r>
        <w:rPr>
          <w:rFonts w:ascii="Arial" w:cs="Arial" w:eastAsia="Arial" w:hAnsi="Arial"/>
          <w:b/>
          <w:bCs/>
          <w:color w:val="0B1D3A"/>
          <w:sz w:val="48"/>
          <w:szCs w:val="48"/>
        </w:rPr>
        <w:t xml:space="preserve">Practitioner Competency Policy</w:t>
      </w:r>
    </w:p>
    <w:p>
      <w:pPr>
        <w:spacing w:after="400"/>
        <w:jc w:val="center"/>
      </w:pPr>
      <w:r>
        <w:rPr>
          <w:rFonts w:ascii="Arial" w:cs="Arial" w:eastAsia="Arial" w:hAnsi="Arial"/>
          <w:b/>
          <w:bCs/>
          <w:color w:val="D4AF37"/>
          <w:sz w:val="20"/>
          <w:szCs w:val="20"/>
        </w:rPr>
        <w:t xml:space="preserve">Health and Social Care Act 2008  |  CQC Regulation 18 &amp; 19  |  HEE Framework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Document Reference</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Version</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23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Review Date</w:t>
            </w:r>
          </w:p>
        </w:tc>
      </w:tr>
      <w:tr>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POL-AC-04</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1.0</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[Insert Date]</w:t>
            </w:r>
          </w:p>
        </w:tc>
        <w:tc>
          <w:tcPr>
            <w:tcW w:type="dxa" w:w="237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[Insert Date + 12 months]</w:t>
            </w:r>
          </w:p>
        </w:tc>
      </w:tr>
      <w:tr>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Organisation</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Applies To</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c>
          <w:tcPr>
            <w:tcW w:type="dxa" w:w="23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Review Trigger</w:t>
            </w:r>
          </w:p>
        </w:tc>
      </w:tr>
      <w:tr>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[Insert Organisation Name]</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All practitioners delivering aesthetic treatments</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[Insert Name], [Insert Title]</w:t>
            </w:r>
          </w:p>
        </w:tc>
        <w:tc>
          <w:tcPr>
            <w:tcW w:type="dxa" w:w="237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Annually, on new practitioner appointment, or on regulatory change</w:t>
            </w:r>
          </w:p>
        </w:tc>
      </w:tr>
    </w:tbl>
    <w:p>
      <w:pPr>
        <w:spacing w:before="300"/>
      </w:pPr>
    </w:p>
    <w:p>
      <w:pPr>
        <w:spacing w:after="120" w:before="0" w:line="276"/>
        <w:jc w:val="center"/>
      </w:pPr>
      <w:r>
        <w:rPr>
          <w:rFonts w:ascii="Arial" w:cs="Arial" w:eastAsia="Arial" w:hAnsi="Arial"/>
          <w:b/>
          <w:bCs/>
          <w:color w:val="0B1D3A"/>
          <w:sz w:val="20"/>
          <w:szCs w:val="20"/>
        </w:rPr>
        <w:t xml:space="preserve">CONFIDENTIALITY NOTICE</w:t>
      </w:r>
    </w:p>
    <w:p>
      <w:pPr>
        <w:spacing w:after="120" w:before="0" w:line="276"/>
        <w:jc w:val="center"/>
      </w:pPr>
      <w:r>
        <w:rPr>
          <w:rFonts w:ascii="Arial" w:cs="Arial" w:eastAsia="Arial" w:hAnsi="Arial"/>
          <w:color w:val="000000"/>
          <w:sz w:val="22"/>
          <w:szCs w:val="22"/>
        </w:rPr>
        <w:t xml:space="preserve">This document and the information contained therein is the property of [Insert Organisation Name]. It must not be reproduced or disclosed without prior written consent.</w:t>
      </w:r>
    </w:p>
    <w:p>
      <w:r>
        <w:br w:type="page"/>
      </w:r>
    </w:p>
    <w:p>
      <w:pPr>
        <w:pBdr>
          <w:bottom w:val="single" w:color="D4AF37" w:sz="2" w:space="4"/>
        </w:pBdr>
        <w:spacing w:after="150" w:before="300"/>
      </w:pPr>
      <w:r>
        <w:rPr>
          <w:rFonts w:ascii="Arial" w:cs="Arial" w:eastAsia="Arial" w:hAnsi="Arial"/>
          <w:b/>
          <w:bCs/>
          <w:color w:val="0B1D3A"/>
          <w:sz w:val="28"/>
          <w:szCs w:val="28"/>
        </w:rPr>
        <w:t xml:space="preserve">1. Introduction</w:t>
      </w:r>
    </w:p>
    <w:p>
      <w:pPr>
        <w:spacing w:after="120" w:before="0" w:line="276"/>
      </w:pPr>
      <w:r>
        <w:rPr>
          <w:rFonts w:ascii="Arial" w:cs="Arial" w:eastAsia="Arial" w:hAnsi="Arial"/>
          <w:color w:val="000000"/>
          <w:sz w:val="22"/>
          <w:szCs w:val="22"/>
        </w:rPr>
        <w:t xml:space="preserve">[Insert Organisation Name] is committed to ensuring that all practitioners delivering aesthetic treatments are suitably qualified, trained, competent and insured. This policy ensures compliance with CQC Regulations 18 (Staffing) and 19 (Fit and proper persons employed).</w:t>
      </w:r>
    </w:p>
    <w:p>
      <w:pPr>
        <w:pBdr>
          <w:bottom w:val="single" w:color="D4AF37" w:sz="2" w:space="4"/>
        </w:pBdr>
        <w:spacing w:after="150" w:before="300"/>
      </w:pPr>
      <w:r>
        <w:rPr>
          <w:rFonts w:ascii="Arial" w:cs="Arial" w:eastAsia="Arial" w:hAnsi="Arial"/>
          <w:b/>
          <w:bCs/>
          <w:color w:val="0B1D3A"/>
          <w:sz w:val="28"/>
          <w:szCs w:val="28"/>
        </w:rPr>
        <w:t xml:space="preserve">2. Legal Framework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Legislation</w:t>
            </w:r>
          </w:p>
        </w:tc>
        <w:tc>
          <w:tcPr>
            <w:tcW w:type="dxa" w:w="4753"/>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Requirement</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Health and Social Care Act 2008</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Regulation 18 (Staffing) and Regulation 19 (Fit and proper persons) — staff must be suitably qualified and competent</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CQC Fundamental Standards</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Providers must deploy sufficient numbers of suitably qualified, competent and experienced staff</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HEE Qualification Requirements for Delivery of Cosmetic Procedures</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Framework for minimum qualifications and training standards for non-surgical cosmetic procedures</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Equality Act 2010</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Non-discriminatory recruitment and employment practices</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Rehabilitation of Offenders Act 1974 (Exceptions) Order</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DBS checks required for roles involving regulated activity</w:t>
            </w:r>
          </w:p>
        </w:tc>
      </w:tr>
    </w:tbl>
    <w:p>
      <w:pPr>
        <w:pBdr>
          <w:bottom w:val="single" w:color="D4AF37" w:sz="2" w:space="4"/>
        </w:pBdr>
        <w:spacing w:after="150" w:before="300"/>
      </w:pPr>
      <w:r>
        <w:rPr>
          <w:rFonts w:ascii="Arial" w:cs="Arial" w:eastAsia="Arial" w:hAnsi="Arial"/>
          <w:b/>
          <w:bCs/>
          <w:color w:val="0B1D3A"/>
          <w:sz w:val="28"/>
          <w:szCs w:val="28"/>
        </w:rPr>
        <w:t xml:space="preserve">3. Minimum Qualifications</w:t>
      </w:r>
    </w:p>
    <w:p>
      <w:pPr>
        <w:spacing w:after="120" w:before="0" w:line="276"/>
      </w:pPr>
      <w:r>
        <w:rPr>
          <w:rFonts w:ascii="Arial" w:cs="Arial" w:eastAsia="Arial" w:hAnsi="Arial"/>
          <w:color w:val="000000"/>
          <w:sz w:val="22"/>
          <w:szCs w:val="22"/>
        </w:rPr>
        <w:t xml:space="preserve">All practitioners at [Insert Organisation Name] must hold, as a minimum:</w:t>
      </w:r>
    </w:p>
    <w:p>
      <w:pPr>
        <w:pStyle w:val="ListParagraph"/>
        <w:numPr>
          <w:ilvl w:val="0"/>
          <w:numId w:val="2"/>
        </w:numPr>
      </w:pPr>
      <w:r>
        <w:rPr>
          <w:rFonts w:ascii="Arial" w:cs="Arial" w:eastAsia="Arial" w:hAnsi="Arial"/>
          <w:color w:val="000000"/>
          <w:sz w:val="22"/>
          <w:szCs w:val="22"/>
        </w:rPr>
        <w:t xml:space="preserve">A recognised healthcare qualification (e.g. registered nurse, doctor, dentist, pharmacist) registered with the relevant professional body (NMC, GMC, GDC, GPhC)</w:t>
      </w:r>
    </w:p>
    <w:p>
      <w:pPr>
        <w:pStyle w:val="ListParagraph"/>
        <w:numPr>
          <w:ilvl w:val="0"/>
          <w:numId w:val="2"/>
        </w:numPr>
      </w:pPr>
      <w:r>
        <w:rPr>
          <w:rFonts w:ascii="Arial" w:cs="Arial" w:eastAsia="Arial" w:hAnsi="Arial"/>
          <w:color w:val="000000"/>
          <w:sz w:val="22"/>
          <w:szCs w:val="22"/>
        </w:rPr>
        <w:t xml:space="preserve">A Level 7 qualification in injectable aesthetic procedures (or equivalent), OR be working towards such a qualification under supervised practice</w:t>
      </w:r>
    </w:p>
    <w:p>
      <w:pPr>
        <w:pStyle w:val="ListParagraph"/>
        <w:numPr>
          <w:ilvl w:val="0"/>
          <w:numId w:val="2"/>
        </w:numPr>
      </w:pPr>
      <w:r>
        <w:rPr>
          <w:rFonts w:ascii="Arial" w:cs="Arial" w:eastAsia="Arial" w:hAnsi="Arial"/>
          <w:color w:val="000000"/>
          <w:sz w:val="22"/>
          <w:szCs w:val="22"/>
        </w:rPr>
        <w:t xml:space="preserve">Evidence of Continuing Professional Development (CPD) relevant to the procedures they deliver</w:t>
      </w:r>
    </w:p>
    <w:p>
      <w:pPr>
        <w:pStyle w:val="ListParagraph"/>
        <w:numPr>
          <w:ilvl w:val="0"/>
          <w:numId w:val="2"/>
        </w:numPr>
      </w:pPr>
      <w:r>
        <w:rPr>
          <w:rFonts w:ascii="Arial" w:cs="Arial" w:eastAsia="Arial" w:hAnsi="Arial"/>
          <w:color w:val="000000"/>
          <w:sz w:val="22"/>
          <w:szCs w:val="22"/>
        </w:rPr>
        <w:t xml:space="preserve">Valid professional indemnity insurance covering all procedures undertaken</w:t>
      </w:r>
    </w:p>
    <w:p>
      <w:pPr>
        <w:pStyle w:val="ListParagraph"/>
        <w:numPr>
          <w:ilvl w:val="0"/>
          <w:numId w:val="2"/>
        </w:numPr>
      </w:pPr>
      <w:r>
        <w:rPr>
          <w:rFonts w:ascii="Arial" w:cs="Arial" w:eastAsia="Arial" w:hAnsi="Arial"/>
          <w:color w:val="000000"/>
          <w:sz w:val="22"/>
          <w:szCs w:val="22"/>
        </w:rPr>
        <w:t xml:space="preserve">A current enhanced DBS check</w:t>
      </w:r>
    </w:p>
    <w:p>
      <w:pPr>
        <w:pBdr>
          <w:bottom w:val="single" w:color="D4AF37" w:sz="2" w:space="4"/>
        </w:pBdr>
        <w:spacing w:after="150" w:before="300"/>
      </w:pPr>
      <w:r>
        <w:rPr>
          <w:rFonts w:ascii="Arial" w:cs="Arial" w:eastAsia="Arial" w:hAnsi="Arial"/>
          <w:b/>
          <w:bCs/>
          <w:color w:val="0B1D3A"/>
          <w:sz w:val="28"/>
          <w:szCs w:val="28"/>
        </w:rPr>
        <w:t xml:space="preserve">4. Competency Assessment</w:t>
      </w:r>
    </w:p>
    <w:p>
      <w:pPr>
        <w:spacing w:after="120" w:before="0" w:line="276"/>
      </w:pPr>
      <w:r>
        <w:rPr>
          <w:rFonts w:ascii="Arial" w:cs="Arial" w:eastAsia="Arial" w:hAnsi="Arial"/>
          <w:color w:val="000000"/>
          <w:sz w:val="22"/>
          <w:szCs w:val="22"/>
        </w:rPr>
        <w:t xml:space="preserve">All practitioners must undergo competency assessment before being permitted to practise independently. Assessment includes:</w:t>
      </w:r>
    </w:p>
    <w:p>
      <w:pPr>
        <w:pStyle w:val="ListParagraph"/>
        <w:numPr>
          <w:ilvl w:val="0"/>
          <w:numId w:val="3"/>
        </w:numPr>
      </w:pPr>
      <w:r>
        <w:rPr>
          <w:rFonts w:ascii="Arial" w:cs="Arial" w:eastAsia="Arial" w:hAnsi="Arial"/>
          <w:color w:val="000000"/>
          <w:sz w:val="22"/>
          <w:szCs w:val="22"/>
        </w:rPr>
        <w:t xml:space="preserve">Review of qualifications, training certificates and professional registration</w:t>
      </w:r>
    </w:p>
    <w:p>
      <w:pPr>
        <w:pStyle w:val="ListParagraph"/>
        <w:numPr>
          <w:ilvl w:val="0"/>
          <w:numId w:val="3"/>
        </w:numPr>
      </w:pPr>
      <w:r>
        <w:rPr>
          <w:rFonts w:ascii="Arial" w:cs="Arial" w:eastAsia="Arial" w:hAnsi="Arial"/>
          <w:color w:val="000000"/>
          <w:sz w:val="22"/>
          <w:szCs w:val="22"/>
        </w:rPr>
        <w:t xml:space="preserve">Direct observation of clinical practice by a senior practitioner</w:t>
      </w:r>
    </w:p>
    <w:p>
      <w:pPr>
        <w:pStyle w:val="ListParagraph"/>
        <w:numPr>
          <w:ilvl w:val="0"/>
          <w:numId w:val="3"/>
        </w:numPr>
      </w:pPr>
      <w:r>
        <w:rPr>
          <w:rFonts w:ascii="Arial" w:cs="Arial" w:eastAsia="Arial" w:hAnsi="Arial"/>
          <w:color w:val="000000"/>
          <w:sz w:val="22"/>
          <w:szCs w:val="22"/>
        </w:rPr>
        <w:t xml:space="preserve">Assessment of knowledge of anatomy, product pharmacology, complications management and emergency procedures</w:t>
      </w:r>
    </w:p>
    <w:p>
      <w:pPr>
        <w:pStyle w:val="ListParagraph"/>
        <w:numPr>
          <w:ilvl w:val="0"/>
          <w:numId w:val="3"/>
        </w:numPr>
      </w:pPr>
      <w:r>
        <w:rPr>
          <w:rFonts w:ascii="Arial" w:cs="Arial" w:eastAsia="Arial" w:hAnsi="Arial"/>
          <w:color w:val="000000"/>
          <w:sz w:val="22"/>
          <w:szCs w:val="22"/>
        </w:rPr>
        <w:t xml:space="preserve">Review of a clinical portfolio or log of procedures performed</w:t>
      </w:r>
    </w:p>
    <w:p>
      <w:pPr>
        <w:pStyle w:val="ListParagraph"/>
        <w:numPr>
          <w:ilvl w:val="0"/>
          <w:numId w:val="3"/>
        </w:numPr>
      </w:pPr>
      <w:r>
        <w:rPr>
          <w:rFonts w:ascii="Arial" w:cs="Arial" w:eastAsia="Arial" w:hAnsi="Arial"/>
          <w:color w:val="000000"/>
          <w:sz w:val="22"/>
          <w:szCs w:val="22"/>
        </w:rPr>
        <w:t xml:space="preserve">Assessment of consent process and client communication skills</w:t>
      </w:r>
    </w:p>
    <w:p>
      <w:pPr>
        <w:pStyle w:val="ListParagraph"/>
        <w:numPr>
          <w:ilvl w:val="0"/>
          <w:numId w:val="3"/>
        </w:numPr>
      </w:pPr>
      <w:r>
        <w:rPr>
          <w:rFonts w:ascii="Arial" w:cs="Arial" w:eastAsia="Arial" w:hAnsi="Arial"/>
          <w:color w:val="000000"/>
          <w:sz w:val="22"/>
          <w:szCs w:val="22"/>
        </w:rPr>
        <w:t xml:space="preserve">Annual revalidation of competency through clinical supervision and CPD review</w:t>
      </w:r>
    </w:p>
    <w:p>
      <w:pPr>
        <w:pBdr>
          <w:bottom w:val="single" w:color="D4AF37" w:sz="2" w:space="4"/>
        </w:pBdr>
        <w:spacing w:after="150" w:before="300"/>
      </w:pPr>
      <w:r>
        <w:rPr>
          <w:rFonts w:ascii="Arial" w:cs="Arial" w:eastAsia="Arial" w:hAnsi="Arial"/>
          <w:b/>
          <w:bCs/>
          <w:color w:val="0B1D3A"/>
          <w:sz w:val="28"/>
          <w:szCs w:val="28"/>
        </w:rPr>
        <w:t xml:space="preserve">5. Supervised Practice</w:t>
      </w:r>
    </w:p>
    <w:p>
      <w:pPr>
        <w:spacing w:after="120" w:before="0" w:line="276"/>
      </w:pPr>
      <w:r>
        <w:rPr>
          <w:rFonts w:ascii="Arial" w:cs="Arial" w:eastAsia="Arial" w:hAnsi="Arial"/>
          <w:color w:val="000000"/>
          <w:sz w:val="22"/>
          <w:szCs w:val="22"/>
        </w:rPr>
        <w:t xml:space="preserve">Practitioners who are newly qualified or extending their scope of practice must work under direct supervision until they have demonstrated competency. The supervising practitioner must be named and must sign off each new procedure type.</w:t>
      </w:r>
    </w:p>
    <w:p>
      <w:pPr>
        <w:pBdr>
          <w:bottom w:val="single" w:color="D4AF37" w:sz="2" w:space="4"/>
        </w:pBdr>
        <w:spacing w:after="150" w:before="300"/>
      </w:pPr>
      <w:r>
        <w:rPr>
          <w:rFonts w:ascii="Arial" w:cs="Arial" w:eastAsia="Arial" w:hAnsi="Arial"/>
          <w:b/>
          <w:bCs/>
          <w:color w:val="0B1D3A"/>
          <w:sz w:val="28"/>
          <w:szCs w:val="28"/>
        </w:rPr>
        <w:t xml:space="preserve">6. Scope of Practice</w:t>
      </w:r>
    </w:p>
    <w:p>
      <w:pPr>
        <w:spacing w:after="120" w:before="0" w:line="276"/>
      </w:pPr>
      <w:r>
        <w:rPr>
          <w:rFonts w:ascii="Arial" w:cs="Arial" w:eastAsia="Arial" w:hAnsi="Arial"/>
          <w:color w:val="000000"/>
          <w:sz w:val="22"/>
          <w:szCs w:val="22"/>
        </w:rPr>
        <w:t xml:space="preserve">Each practitioner’s scope of practice must be clearly defined and documented. Practitioners must not perform procedures outside their assessed scope of practice. Extension of scope requires additional training and competency assessment.</w:t>
      </w:r>
    </w:p>
    <w:p>
      <w:pPr>
        <w:pBdr>
          <w:bottom w:val="single" w:color="D4AF37" w:sz="2" w:space="4"/>
        </w:pBdr>
        <w:spacing w:after="150" w:before="300"/>
      </w:pPr>
      <w:r>
        <w:rPr>
          <w:rFonts w:ascii="Arial" w:cs="Arial" w:eastAsia="Arial" w:hAnsi="Arial"/>
          <w:b/>
          <w:bCs/>
          <w:color w:val="0B1D3A"/>
          <w:sz w:val="28"/>
          <w:szCs w:val="28"/>
        </w:rPr>
        <w:t xml:space="preserve">7. Continuing Professional Development</w:t>
      </w:r>
    </w:p>
    <w:p>
      <w:pPr>
        <w:spacing w:after="120" w:before="0" w:line="276"/>
      </w:pPr>
      <w:r>
        <w:rPr>
          <w:rFonts w:ascii="Arial" w:cs="Arial" w:eastAsia="Arial" w:hAnsi="Arial"/>
          <w:color w:val="000000"/>
          <w:sz w:val="22"/>
          <w:szCs w:val="22"/>
        </w:rPr>
        <w:t xml:space="preserve">All practitioners must maintain a CPD portfolio and complete a minimum of [Insert Number] hours of CPD per year relevant to their practice. CPD activities may include courses, conferences, peer review, clinical audit and reflective practice.</w:t>
      </w:r>
    </w:p>
    <w:p>
      <w:pPr>
        <w:pBdr>
          <w:bottom w:val="single" w:color="D4AF37" w:sz="2" w:space="4"/>
        </w:pBdr>
        <w:spacing w:after="150" w:before="300"/>
      </w:pPr>
      <w:r>
        <w:rPr>
          <w:rFonts w:ascii="Arial" w:cs="Arial" w:eastAsia="Arial" w:hAnsi="Arial"/>
          <w:b/>
          <w:bCs/>
          <w:color w:val="0B1D3A"/>
          <w:sz w:val="28"/>
          <w:szCs w:val="28"/>
        </w:rPr>
        <w:t xml:space="preserve">8. Record Keeping</w:t>
      </w:r>
    </w:p>
    <w:p>
      <w:pPr>
        <w:spacing w:after="120" w:before="0" w:line="276"/>
      </w:pPr>
      <w:r>
        <w:rPr>
          <w:rFonts w:ascii="Arial" w:cs="Arial" w:eastAsia="Arial" w:hAnsi="Arial"/>
          <w:color w:val="000000"/>
          <w:sz w:val="22"/>
          <w:szCs w:val="22"/>
        </w:rPr>
        <w:t xml:space="preserve">The following records must be maintained for each practitioner: qualifications, professional registration, DBS check, indemnity insurance, competency assessments, CPD records, and supervision records. Records must be available for CQC inspection.</w:t>
      </w:r>
    </w:p>
    <w:p>
      <w:pPr>
        <w:pBdr>
          <w:bottom w:val="single" w:color="D4AF37" w:sz="2" w:space="4"/>
        </w:pBdr>
        <w:spacing w:after="150" w:before="300"/>
      </w:pPr>
      <w:r>
        <w:rPr>
          <w:rFonts w:ascii="Arial" w:cs="Arial" w:eastAsia="Arial" w:hAnsi="Arial"/>
          <w:b/>
          <w:bCs/>
          <w:color w:val="0B1D3A"/>
          <w:sz w:val="28"/>
          <w:szCs w:val="28"/>
        </w:rPr>
        <w:t xml:space="preserve">9. Responsibilities</w:t>
      </w:r>
    </w:p>
    <w:p>
      <w:pPr>
        <w:spacing w:after="120" w:before="0" w:line="276"/>
      </w:pPr>
      <w:r>
        <w:rPr>
          <w:rFonts w:ascii="Arial" w:cs="Arial" w:eastAsia="Arial" w:hAnsi="Arial"/>
          <w:color w:val="000000"/>
          <w:sz w:val="22"/>
          <w:szCs w:val="22"/>
        </w:rPr>
        <w:t xml:space="preserve">The Registered Manager ([Insert Name]) is responsible for ensuring that all practitioners meet the competency requirements set out in this policy and that records are maintained.</w:t>
      </w:r>
    </w:p>
    <w:p>
      <w:r>
        <w:br w:type="page"/>
      </w:r>
    </w:p>
    <w:p>
      <w:pPr>
        <w:pBdr>
          <w:bottom w:val="single" w:color="D4AF37" w:sz="2" w:space="4"/>
        </w:pBdr>
        <w:spacing w:after="150" w:before="300"/>
      </w:pPr>
      <w:r>
        <w:rPr>
          <w:rFonts w:ascii="Arial" w:cs="Arial" w:eastAsia="Arial" w:hAnsi="Arial"/>
          <w:b/>
          <w:bCs/>
          <w:color w:val="0B1D3A"/>
          <w:sz w:val="28"/>
          <w:szCs w:val="28"/>
        </w:rPr>
        <w:t xml:space="preserve">Sign-Off</w:t>
      </w:r>
    </w:p>
    <w:p>
      <w:pPr>
        <w:spacing w:after="120" w:before="0" w:line="276"/>
      </w:pPr>
      <w:r>
        <w:rPr>
          <w:rFonts w:ascii="Arial" w:cs="Arial" w:eastAsia="Arial" w:hAnsi="Arial"/>
          <w:color w:val="000000"/>
          <w:sz w:val="22"/>
          <w:szCs w:val="22"/>
        </w:rPr>
        <w:t xml:space="preserve">This document has been approved and authorised by: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23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Title</w:t>
            </w:r>
          </w:p>
        </w:tc>
      </w:tr>
      <w:tr>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Name]</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Date]</w:t>
            </w:r>
          </w:p>
        </w:tc>
        <w:tc>
          <w:tcPr>
            <w:tcW w:type="dxa" w:w="237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Title]</w:t>
            </w:r>
          </w:p>
        </w:tc>
      </w:tr>
      <w:tr>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 Approved</w:t>
            </w:r>
          </w:p>
        </w:tc>
        <w:tc>
          <w:tcPr>
            <w:tcW w:type="dxa" w:w="23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Next Review</w:t>
            </w:r>
          </w:p>
        </w:tc>
      </w:tr>
      <w:tr>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Name]</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Date]</w:t>
            </w:r>
          </w:p>
        </w:tc>
        <w:tc>
          <w:tcPr>
            <w:tcW w:type="dxa" w:w="237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Date + 12 months]</w:t>
            </w:r>
          </w:p>
        </w:tc>
      </w:tr>
    </w:tbl>
    <w:p>
      <w:pPr>
        <w:spacing w:before="300"/>
      </w:pPr>
    </w:p>
    <w:p>
      <w:pPr>
        <w:pBdr>
          <w:top w:val="single" w:color="D4AF37" w:sz="4" w:space="8"/>
          <w:bottom w:val="single" w:color="D4AF37" w:sz="4" w:space="8"/>
        </w:pBdr>
        <w:spacing w:after="200" w:before="200"/>
        <w:jc w:val="center"/>
      </w:pPr>
      <w:r>
        <w:rPr>
          <w:rFonts w:ascii="Arial" w:cs="Arial" w:eastAsia="Arial" w:hAnsi="Arial"/>
          <w:b/>
          <w:bCs/>
          <w:color w:val="0B1D3A"/>
          <w:sz w:val="20"/>
          <w:szCs w:val="20"/>
        </w:rPr>
        <w:t xml:space="preserve">END OF DOCUMENT</w:t>
      </w:r>
    </w:p>
    <w:sectPr>
      <w:headerReference w:type="default" r:id="rId7"/>
      <w:footerReference w:type="default" r:id="rId8"/>
      <w:pgSz w:w="11906" w:h="16838"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2" w:space="4"/>
      </w:pBdr>
      <w:jc w:val="center"/>
    </w:pPr>
    <w:r>
      <w:rPr>
        <w:rFonts w:ascii="Arial" w:cs="Arial" w:eastAsia="Arial" w:hAnsi="Arial"/>
        <w:color w:val="999999"/>
        <w:sz w:val="14"/>
        <w:szCs w:val="14"/>
      </w:rPr>
      <w:t xml:space="preserve">© Barker Scott Ltd  |  barker-scott.co.uk  |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4" w:space="4"/>
      </w:pBdr>
      <w:spacing w:after="100"/>
    </w:pPr>
    <w:r>
      <w:drawing>
        <wp:inline distT="0" distB="0" distL="0" distR="0">
          <wp:extent cx="19050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05000" cy="476250"/>
                  </a:xfrm>
                  <a:prstGeom prst="rect">
                    <a:avLst/>
                  </a:prstGeom>
                </pic:spPr>
              </pic:pic>
            </a:graphicData>
          </a:graphic>
        </wp:inline>
      </w:drawing>
    </w:r>
    <w:r>
      <w:rPr>
        <w:rFonts w:ascii="Arial" w:cs="Arial" w:eastAsia="Arial" w:hAnsi="Arial"/>
        <w:color w:val="5B4A00"/>
        <w:sz w:val="16"/>
        <w:szCs w:val="16"/>
      </w:rPr>
      <w:t xml:space="preserve">  |  Practitioner Competency Policy  |  POL-AC-04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deda36e21feb3d2f69d01492dd41e26580fc81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deda36e21feb3d2f69d01492dd41e26580fc81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2026-05-15T09:04:37.691Z</dcterms:created>
  <dcterms:modified xsi:type="dcterms:W3CDTF">2026-05-15T09:04:37.691Z</dcterms:modified>
</cp:coreProperties>
</file>

<file path=docProps/custom.xml><?xml version="1.0" encoding="utf-8"?>
<Properties xmlns="http://schemas.openxmlformats.org/officeDocument/2006/custom-properties" xmlns:vt="http://schemas.openxmlformats.org/officeDocument/2006/docPropsVTypes"/>
</file>