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drawing>
          <wp:inline distT="0" distB="0" distL="0" distR="0">
            <wp:extent cx="333375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838200"/>
                    </a:xfrm>
                    <a:prstGeom prst="rect">
                      <a:avLst/>
                    </a:prstGeom>
                  </pic:spPr>
                </pic:pic>
              </a:graphicData>
            </a:graphic>
          </wp:inline>
        </w:drawing>
      </w:r>
    </w:p>
    <w:p>
      <w:pPr>
        <w:spacing w:before="600"/>
      </w:pPr>
    </w:p>
    <w:p>
      <w:pPr>
        <w:spacing w:after="200"/>
        <w:jc w:val="center"/>
      </w:pPr>
      <w:r>
        <w:rPr>
          <w:rFonts w:ascii="Arial" w:cs="Arial" w:eastAsia="Arial" w:hAnsi="Arial"/>
          <w:b/>
          <w:bCs/>
          <w:color w:val="0B1D3A"/>
          <w:sz w:val="48"/>
          <w:szCs w:val="48"/>
        </w:rPr>
        <w:t xml:space="preserve">Privacy &amp; Data Protection Policy</w:t>
      </w:r>
    </w:p>
    <w:p>
      <w:pPr>
        <w:spacing w:after="400"/>
        <w:jc w:val="center"/>
      </w:pPr>
      <w:r>
        <w:rPr>
          <w:rFonts w:ascii="Arial" w:cs="Arial" w:eastAsia="Arial" w:hAnsi="Arial"/>
          <w:b/>
          <w:bCs/>
          <w:color w:val="D4AF37"/>
          <w:sz w:val="20"/>
          <w:szCs w:val="20"/>
        </w:rPr>
        <w:t xml:space="preserve">Data Protection Act 2018  |  UK GDPR  |  CQC Regulation 17</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Document Reference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Version</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23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Review Date</w:t>
            </w:r>
          </w:p>
        </w:tc>
      </w:tr>
      <w:tr>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POL-AC-08</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1.0</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[Insert Date]</w:t>
            </w:r>
          </w:p>
        </w:tc>
        <w:tc>
          <w:tcPr>
            <w:tcW w:type="dxa" w:w="237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[Insert Date + 12 months]</w:t>
            </w:r>
          </w:p>
        </w:tc>
      </w:tr>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Organisation</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Applies To</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c>
          <w:tcPr>
            <w:tcW w:type="dxa" w:w="23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Review Trigger</w:t>
            </w:r>
          </w:p>
        </w:tc>
      </w:tr>
      <w:tr>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[Insert Organisation Name]</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All staff handling personal data</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[Insert Name], [Insert Title]</w:t>
            </w:r>
          </w:p>
        </w:tc>
        <w:tc>
          <w:tcPr>
            <w:tcW w:type="dxa" w:w="237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Annually, after data breach, or on regulatory change</w:t>
            </w:r>
          </w:p>
        </w:tc>
      </w:tr>
    </w:tbl>
    <w:p>
      <w:pPr>
        <w:spacing w:before="300"/>
      </w:pPr>
    </w:p>
    <w:p>
      <w:pPr>
        <w:spacing w:after="120" w:before="0" w:line="276"/>
        <w:jc w:val="center"/>
      </w:pPr>
      <w:r>
        <w:rPr>
          <w:rFonts w:ascii="Arial" w:cs="Arial" w:eastAsia="Arial" w:hAnsi="Arial"/>
          <w:b/>
          <w:bCs/>
          <w:color w:val="0B1D3A"/>
          <w:sz w:val="20"/>
          <w:szCs w:val="20"/>
        </w:rPr>
        <w:t xml:space="preserve">CONFIDENTIALITY NOTICE</w:t>
      </w:r>
    </w:p>
    <w:p>
      <w:pPr>
        <w:spacing w:after="120" w:before="0" w:line="276"/>
        <w:jc w:val="center"/>
      </w:pPr>
      <w:r>
        <w:rPr>
          <w:rFonts w:ascii="Arial" w:cs="Arial" w:eastAsia="Arial" w:hAnsi="Arial"/>
          <w:color w:val="000000"/>
          <w:sz w:val="22"/>
          <w:szCs w:val="22"/>
        </w:rPr>
        <w:t xml:space="preserve">This document and the information contained therein is the property of [Insert Organisation Name]. It must not be reproduced or disclosed without prior written consent.</w:t>
      </w:r>
    </w:p>
    <w:p>
      <w:r>
        <w:br w:type="page"/>
      </w:r>
    </w:p>
    <w:p>
      <w:pPr>
        <w:pBdr>
          <w:bottom w:val="single" w:color="D4AF37" w:sz="2" w:space="4"/>
        </w:pBdr>
        <w:spacing w:after="150" w:before="300"/>
      </w:pPr>
      <w:r>
        <w:rPr>
          <w:rFonts w:ascii="Arial" w:cs="Arial" w:eastAsia="Arial" w:hAnsi="Arial"/>
          <w:b/>
          <w:bCs/>
          <w:color w:val="0B1D3A"/>
          <w:sz w:val="28"/>
          <w:szCs w:val="28"/>
        </w:rPr>
        <w:t xml:space="preserve">1. Introduction</w:t>
      </w:r>
    </w:p>
    <w:p>
      <w:pPr>
        <w:spacing w:after="120" w:before="0" w:line="276"/>
      </w:pPr>
      <w:r>
        <w:rPr>
          <w:rFonts w:ascii="Arial" w:cs="Arial" w:eastAsia="Arial" w:hAnsi="Arial"/>
          <w:color w:val="000000"/>
          <w:sz w:val="22"/>
          <w:szCs w:val="22"/>
        </w:rPr>
        <w:t xml:space="preserve">[Insert Organisation Name] is committed to protecting the privacy of clients, staff and other individuals whose personal data it processes. This policy sets out the organisation’s approach to data protection in compliance with the Data Protection Act 2018, the UK General Data Protection Regulation (UK GDPR) and the CQC Fundamental Standards.</w:t>
      </w:r>
    </w:p>
    <w:p>
      <w:pPr>
        <w:pBdr>
          <w:bottom w:val="single" w:color="D4AF37" w:sz="2" w:space="4"/>
        </w:pBdr>
        <w:spacing w:after="150" w:before="300"/>
      </w:pPr>
      <w:r>
        <w:rPr>
          <w:rFonts w:ascii="Arial" w:cs="Arial" w:eastAsia="Arial" w:hAnsi="Arial"/>
          <w:b/>
          <w:bCs/>
          <w:color w:val="0B1D3A"/>
          <w:sz w:val="28"/>
          <w:szCs w:val="28"/>
        </w:rPr>
        <w:t xml:space="preserve">2. Legal Framework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Legislation</w:t>
            </w:r>
          </w:p>
        </w:tc>
        <w:tc>
          <w:tcPr>
            <w:tcW w:type="dxa" w:w="4753"/>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Requirement</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Data Protection Act 2018</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Primary UK data protection legislation implementing the GDPR</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UK General Data Protection Regulation (UK GDPR)</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Seven principles of data protection, lawful bases for processing, data subject rights</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Health and Social Care Act 2008</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Regulation 17 (Good governance) — secure management of records and information</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Human Rights Act 1998</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Article 8 — right to respect for private and family life</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Computer Misuse Act 1990</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Offences relating to unauthorised access to computer material</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Freedom of Information Act 2000</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Right of access to information held by public authorities</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Common Law Duty of Confidentiality</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Duty not to disclose confidential information without consent or lawful basis</w:t>
            </w:r>
          </w:p>
        </w:tc>
      </w:tr>
    </w:tbl>
    <w:p>
      <w:pPr>
        <w:pBdr>
          <w:bottom w:val="single" w:color="D4AF37" w:sz="2" w:space="4"/>
        </w:pBdr>
        <w:spacing w:after="150" w:before="300"/>
      </w:pPr>
      <w:r>
        <w:rPr>
          <w:rFonts w:ascii="Arial" w:cs="Arial" w:eastAsia="Arial" w:hAnsi="Arial"/>
          <w:b/>
          <w:bCs/>
          <w:color w:val="0B1D3A"/>
          <w:sz w:val="28"/>
          <w:szCs w:val="28"/>
        </w:rPr>
        <w:t xml:space="preserve">3. Data Protection Principles</w:t>
      </w:r>
    </w:p>
    <w:p>
      <w:pPr>
        <w:spacing w:after="120" w:before="0" w:line="276"/>
      </w:pPr>
      <w:r>
        <w:rPr>
          <w:rFonts w:ascii="Arial" w:cs="Arial" w:eastAsia="Arial" w:hAnsi="Arial"/>
          <w:color w:val="000000"/>
          <w:sz w:val="22"/>
          <w:szCs w:val="22"/>
        </w:rPr>
        <w:t xml:space="preserve">All personal data must be processed in accordance with the seven principles of the UK GDPR:</w:t>
      </w:r>
    </w:p>
    <w:p>
      <w:pPr>
        <w:pStyle w:val="ListParagraph"/>
        <w:numPr>
          <w:ilvl w:val="0"/>
          <w:numId w:val="2"/>
        </w:numPr>
      </w:pPr>
      <w:r>
        <w:rPr>
          <w:rFonts w:ascii="Arial" w:cs="Arial" w:eastAsia="Arial" w:hAnsi="Arial"/>
          <w:color w:val="000000"/>
          <w:sz w:val="22"/>
          <w:szCs w:val="22"/>
        </w:rPr>
        <w:t xml:space="preserve">Lawfulness, fairness and transparency — data must be processed lawfully, fairly and in a transparent manner</w:t>
      </w:r>
    </w:p>
    <w:p>
      <w:pPr>
        <w:pStyle w:val="ListParagraph"/>
        <w:numPr>
          <w:ilvl w:val="0"/>
          <w:numId w:val="2"/>
        </w:numPr>
      </w:pPr>
      <w:r>
        <w:rPr>
          <w:rFonts w:ascii="Arial" w:cs="Arial" w:eastAsia="Arial" w:hAnsi="Arial"/>
          <w:color w:val="000000"/>
          <w:sz w:val="22"/>
          <w:szCs w:val="22"/>
        </w:rPr>
        <w:t xml:space="preserve">Purpose limitation — data must be collected for specified, explicit and legitimate purposes</w:t>
      </w:r>
    </w:p>
    <w:p>
      <w:pPr>
        <w:pStyle w:val="ListParagraph"/>
        <w:numPr>
          <w:ilvl w:val="0"/>
          <w:numId w:val="2"/>
        </w:numPr>
      </w:pPr>
      <w:r>
        <w:rPr>
          <w:rFonts w:ascii="Arial" w:cs="Arial" w:eastAsia="Arial" w:hAnsi="Arial"/>
          <w:color w:val="000000"/>
          <w:sz w:val="22"/>
          <w:szCs w:val="22"/>
        </w:rPr>
        <w:t xml:space="preserve">Data minimisation — data must be adequate, relevant and limited to what is necessary</w:t>
      </w:r>
    </w:p>
    <w:p>
      <w:pPr>
        <w:pStyle w:val="ListParagraph"/>
        <w:numPr>
          <w:ilvl w:val="0"/>
          <w:numId w:val="2"/>
        </w:numPr>
      </w:pPr>
      <w:r>
        <w:rPr>
          <w:rFonts w:ascii="Arial" w:cs="Arial" w:eastAsia="Arial" w:hAnsi="Arial"/>
          <w:color w:val="000000"/>
          <w:sz w:val="22"/>
          <w:szCs w:val="22"/>
        </w:rPr>
        <w:t xml:space="preserve">Accuracy — data must be accurate and kept up to date</w:t>
      </w:r>
    </w:p>
    <w:p>
      <w:pPr>
        <w:pStyle w:val="ListParagraph"/>
        <w:numPr>
          <w:ilvl w:val="0"/>
          <w:numId w:val="2"/>
        </w:numPr>
      </w:pPr>
      <w:r>
        <w:rPr>
          <w:rFonts w:ascii="Arial" w:cs="Arial" w:eastAsia="Arial" w:hAnsi="Arial"/>
          <w:color w:val="000000"/>
          <w:sz w:val="22"/>
          <w:szCs w:val="22"/>
        </w:rPr>
        <w:t xml:space="preserve">Storage limitation — data must not be kept longer than necessary</w:t>
      </w:r>
    </w:p>
    <w:p>
      <w:pPr>
        <w:pStyle w:val="ListParagraph"/>
        <w:numPr>
          <w:ilvl w:val="0"/>
          <w:numId w:val="2"/>
        </w:numPr>
      </w:pPr>
      <w:r>
        <w:rPr>
          <w:rFonts w:ascii="Arial" w:cs="Arial" w:eastAsia="Arial" w:hAnsi="Arial"/>
          <w:color w:val="000000"/>
          <w:sz w:val="22"/>
          <w:szCs w:val="22"/>
        </w:rPr>
        <w:t xml:space="preserve">Integrity and confidentiality — data must be processed securely</w:t>
      </w:r>
    </w:p>
    <w:p>
      <w:pPr>
        <w:pStyle w:val="ListParagraph"/>
        <w:numPr>
          <w:ilvl w:val="0"/>
          <w:numId w:val="2"/>
        </w:numPr>
      </w:pPr>
      <w:r>
        <w:rPr>
          <w:rFonts w:ascii="Arial" w:cs="Arial" w:eastAsia="Arial" w:hAnsi="Arial"/>
          <w:color w:val="000000"/>
          <w:sz w:val="22"/>
          <w:szCs w:val="22"/>
        </w:rPr>
        <w:t xml:space="preserve">Accountability — the data controller must demonstrate compliance</w:t>
      </w:r>
    </w:p>
    <w:p>
      <w:pPr>
        <w:pBdr>
          <w:bottom w:val="single" w:color="D4AF37" w:sz="2" w:space="4"/>
        </w:pBdr>
        <w:spacing w:after="150" w:before="300"/>
      </w:pPr>
      <w:r>
        <w:rPr>
          <w:rFonts w:ascii="Arial" w:cs="Arial" w:eastAsia="Arial" w:hAnsi="Arial"/>
          <w:b/>
          <w:bCs/>
          <w:color w:val="0B1D3A"/>
          <w:sz w:val="28"/>
          <w:szCs w:val="28"/>
        </w:rPr>
        <w:t xml:space="preserve">4. Lawful Basis for Processing</w:t>
      </w:r>
    </w:p>
    <w:p>
      <w:pPr>
        <w:spacing w:after="120" w:before="0" w:line="276"/>
      </w:pPr>
      <w:r>
        <w:rPr>
          <w:rFonts w:ascii="Arial" w:cs="Arial" w:eastAsia="Arial" w:hAnsi="Arial"/>
          <w:color w:val="000000"/>
          <w:sz w:val="22"/>
          <w:szCs w:val="22"/>
        </w:rPr>
        <w:t xml:space="preserve">[Insert Organisation Name] processes personal data on the following lawful bases: consent (Article 6(1)(a)), performance of a contract (Article 6(1)(b)), legal obligation (Article 6(1)(c)), and legitimate interests (Article 6(1)(f)). Health data is processed under Article 9(2)(h) — provision of healthcare.</w:t>
      </w:r>
    </w:p>
    <w:p>
      <w:pPr>
        <w:pBdr>
          <w:bottom w:val="single" w:color="D4AF37" w:sz="2" w:space="4"/>
        </w:pBdr>
        <w:spacing w:after="150" w:before="300"/>
      </w:pPr>
      <w:r>
        <w:rPr>
          <w:rFonts w:ascii="Arial" w:cs="Arial" w:eastAsia="Arial" w:hAnsi="Arial"/>
          <w:b/>
          <w:bCs/>
          <w:color w:val="0B1D3A"/>
          <w:sz w:val="28"/>
          <w:szCs w:val="28"/>
        </w:rPr>
        <w:t xml:space="preserve">5. Client Data</w:t>
      </w:r>
    </w:p>
    <w:p>
      <w:pPr>
        <w:spacing w:after="120" w:before="0" w:line="276"/>
      </w:pPr>
      <w:r>
        <w:rPr>
          <w:rFonts w:ascii="Arial" w:cs="Arial" w:eastAsia="Arial" w:hAnsi="Arial"/>
          <w:color w:val="000000"/>
          <w:sz w:val="22"/>
          <w:szCs w:val="22"/>
        </w:rPr>
        <w:t xml:space="preserve">Client data collected includes: name, contact details, date of birth, medical history, treatment records, consent forms, photographs and payment information. This data is processed for the purposes of providing treatment, managing appointments, fulfilling legal obligations and communicating with clients.</w:t>
      </w:r>
    </w:p>
    <w:p>
      <w:pPr>
        <w:pBdr>
          <w:bottom w:val="single" w:color="D4AF37" w:sz="2" w:space="4"/>
        </w:pBdr>
        <w:spacing w:after="150" w:before="300"/>
      </w:pPr>
      <w:r>
        <w:rPr>
          <w:rFonts w:ascii="Arial" w:cs="Arial" w:eastAsia="Arial" w:hAnsi="Arial"/>
          <w:b/>
          <w:bCs/>
          <w:color w:val="0B1D3A"/>
          <w:sz w:val="28"/>
          <w:szCs w:val="28"/>
        </w:rPr>
        <w:t xml:space="preserve">6. Data Security</w:t>
      </w:r>
    </w:p>
    <w:p>
      <w:pPr>
        <w:pStyle w:val="ListParagraph"/>
        <w:numPr>
          <w:ilvl w:val="0"/>
          <w:numId w:val="3"/>
        </w:numPr>
      </w:pPr>
      <w:r>
        <w:rPr>
          <w:rFonts w:ascii="Arial" w:cs="Arial" w:eastAsia="Arial" w:hAnsi="Arial"/>
          <w:color w:val="000000"/>
          <w:sz w:val="22"/>
          <w:szCs w:val="22"/>
        </w:rPr>
        <w:t xml:space="preserve">Electronic records must be password-protected and encrypted where possible</w:t>
      </w:r>
    </w:p>
    <w:p>
      <w:pPr>
        <w:pStyle w:val="ListParagraph"/>
        <w:numPr>
          <w:ilvl w:val="0"/>
          <w:numId w:val="3"/>
        </w:numPr>
      </w:pPr>
      <w:r>
        <w:rPr>
          <w:rFonts w:ascii="Arial" w:cs="Arial" w:eastAsia="Arial" w:hAnsi="Arial"/>
          <w:color w:val="000000"/>
          <w:sz w:val="22"/>
          <w:szCs w:val="22"/>
        </w:rPr>
        <w:t xml:space="preserve">Paper records must be stored in locked filing cabinets in a secure area</w:t>
      </w:r>
    </w:p>
    <w:p>
      <w:pPr>
        <w:pStyle w:val="ListParagraph"/>
        <w:numPr>
          <w:ilvl w:val="0"/>
          <w:numId w:val="3"/>
        </w:numPr>
      </w:pPr>
      <w:r>
        <w:rPr>
          <w:rFonts w:ascii="Arial" w:cs="Arial" w:eastAsia="Arial" w:hAnsi="Arial"/>
          <w:color w:val="000000"/>
          <w:sz w:val="22"/>
          <w:szCs w:val="22"/>
        </w:rPr>
        <w:t xml:space="preserve">Access to personal data must be restricted to authorised staff on a need-to-know basis</w:t>
      </w:r>
    </w:p>
    <w:p>
      <w:pPr>
        <w:pStyle w:val="ListParagraph"/>
        <w:numPr>
          <w:ilvl w:val="0"/>
          <w:numId w:val="3"/>
        </w:numPr>
      </w:pPr>
      <w:r>
        <w:rPr>
          <w:rFonts w:ascii="Arial" w:cs="Arial" w:eastAsia="Arial" w:hAnsi="Arial"/>
          <w:color w:val="000000"/>
          <w:sz w:val="22"/>
          <w:szCs w:val="22"/>
        </w:rPr>
        <w:t xml:space="preserve">Staff must not share passwords or access credentials</w:t>
      </w:r>
    </w:p>
    <w:p>
      <w:pPr>
        <w:pStyle w:val="ListParagraph"/>
        <w:numPr>
          <w:ilvl w:val="0"/>
          <w:numId w:val="3"/>
        </w:numPr>
      </w:pPr>
      <w:r>
        <w:rPr>
          <w:rFonts w:ascii="Arial" w:cs="Arial" w:eastAsia="Arial" w:hAnsi="Arial"/>
          <w:color w:val="000000"/>
          <w:sz w:val="22"/>
          <w:szCs w:val="22"/>
        </w:rPr>
        <w:t xml:space="preserve">Portable devices containing personal data must be encrypted</w:t>
      </w:r>
    </w:p>
    <w:p>
      <w:pPr>
        <w:pStyle w:val="ListParagraph"/>
        <w:numPr>
          <w:ilvl w:val="0"/>
          <w:numId w:val="3"/>
        </w:numPr>
      </w:pPr>
      <w:r>
        <w:rPr>
          <w:rFonts w:ascii="Arial" w:cs="Arial" w:eastAsia="Arial" w:hAnsi="Arial"/>
          <w:color w:val="000000"/>
          <w:sz w:val="22"/>
          <w:szCs w:val="22"/>
        </w:rPr>
        <w:t xml:space="preserve">Personal data must not be sent by unencrypted email</w:t>
      </w:r>
    </w:p>
    <w:p>
      <w:pPr>
        <w:pBdr>
          <w:bottom w:val="single" w:color="D4AF37" w:sz="2" w:space="4"/>
        </w:pBdr>
        <w:spacing w:after="150" w:before="300"/>
      </w:pPr>
      <w:r>
        <w:rPr>
          <w:rFonts w:ascii="Arial" w:cs="Arial" w:eastAsia="Arial" w:hAnsi="Arial"/>
          <w:b/>
          <w:bCs/>
          <w:color w:val="0B1D3A"/>
          <w:sz w:val="28"/>
          <w:szCs w:val="28"/>
        </w:rPr>
        <w:t xml:space="preserve">7. Data Breach</w:t>
      </w:r>
    </w:p>
    <w:p>
      <w:pPr>
        <w:spacing w:after="120" w:before="0" w:line="276"/>
      </w:pPr>
      <w:r>
        <w:rPr>
          <w:rFonts w:ascii="Arial" w:cs="Arial" w:eastAsia="Arial" w:hAnsi="Arial"/>
          <w:color w:val="000000"/>
          <w:sz w:val="22"/>
          <w:szCs w:val="22"/>
        </w:rPr>
        <w:t xml:space="preserve">A personal data breach must be reported to the Data Protection Officer ([Insert Name]) immediately. Breaches likely to result in a risk to individuals must be reported to the Information Commissioner’s Office (ICO) within 72 hours. Affected individuals must be notified without undue delay where the breach is likely to result in a high risk to their rights and freedoms.</w:t>
      </w:r>
    </w:p>
    <w:p>
      <w:pPr>
        <w:pBdr>
          <w:bottom w:val="single" w:color="D4AF37" w:sz="2" w:space="4"/>
        </w:pBdr>
        <w:spacing w:after="150" w:before="300"/>
      </w:pPr>
      <w:r>
        <w:rPr>
          <w:rFonts w:ascii="Arial" w:cs="Arial" w:eastAsia="Arial" w:hAnsi="Arial"/>
          <w:b/>
          <w:bCs/>
          <w:color w:val="0B1D3A"/>
          <w:sz w:val="28"/>
          <w:szCs w:val="28"/>
        </w:rPr>
        <w:t xml:space="preserve">8. Data Subject Rights</w:t>
      </w:r>
    </w:p>
    <w:p>
      <w:pPr>
        <w:spacing w:after="120" w:before="0" w:line="276"/>
      </w:pPr>
      <w:r>
        <w:rPr>
          <w:rFonts w:ascii="Arial" w:cs="Arial" w:eastAsia="Arial" w:hAnsi="Arial"/>
          <w:color w:val="000000"/>
          <w:sz w:val="22"/>
          <w:szCs w:val="22"/>
        </w:rPr>
        <w:t xml:space="preserve">Individuals have the right to: access their personal data (Subject Access Request), rectification, erasure, restriction of processing, data portability and to object to processing. Requests must be responded to within one calendar month.</w:t>
      </w:r>
    </w:p>
    <w:p>
      <w:pPr>
        <w:pBdr>
          <w:bottom w:val="single" w:color="D4AF37" w:sz="2" w:space="4"/>
        </w:pBdr>
        <w:spacing w:after="150" w:before="300"/>
      </w:pPr>
      <w:r>
        <w:rPr>
          <w:rFonts w:ascii="Arial" w:cs="Arial" w:eastAsia="Arial" w:hAnsi="Arial"/>
          <w:b/>
          <w:bCs/>
          <w:color w:val="0B1D3A"/>
          <w:sz w:val="28"/>
          <w:szCs w:val="28"/>
        </w:rPr>
        <w:t xml:space="preserve">9. Data Retention</w:t>
      </w:r>
    </w:p>
    <w:p>
      <w:pPr>
        <w:spacing w:after="120" w:before="0" w:line="276"/>
      </w:pPr>
      <w:r>
        <w:rPr>
          <w:rFonts w:ascii="Arial" w:cs="Arial" w:eastAsia="Arial" w:hAnsi="Arial"/>
          <w:color w:val="000000"/>
          <w:sz w:val="22"/>
          <w:szCs w:val="22"/>
        </w:rPr>
        <w:t xml:space="preserve">Client treatment records must be retained for a minimum of 10 years from the date of last treatment (or until the client’s 25th birthday if the client was under 18). Staff records must be retained for 6 years after the end of employment.</w:t>
      </w:r>
    </w:p>
    <w:p>
      <w:pPr>
        <w:pBdr>
          <w:bottom w:val="single" w:color="D4AF37" w:sz="2" w:space="4"/>
        </w:pBdr>
        <w:spacing w:after="150" w:before="300"/>
      </w:pPr>
      <w:r>
        <w:rPr>
          <w:rFonts w:ascii="Arial" w:cs="Arial" w:eastAsia="Arial" w:hAnsi="Arial"/>
          <w:b/>
          <w:bCs/>
          <w:color w:val="0B1D3A"/>
          <w:sz w:val="28"/>
          <w:szCs w:val="28"/>
        </w:rPr>
        <w:t xml:space="preserve">10. Responsibilities</w:t>
      </w:r>
    </w:p>
    <w:p>
      <w:pPr>
        <w:spacing w:after="120" w:before="0" w:line="276"/>
      </w:pPr>
      <w:r>
        <w:rPr>
          <w:rFonts w:ascii="Arial" w:cs="Arial" w:eastAsia="Arial" w:hAnsi="Arial"/>
          <w:color w:val="000000"/>
          <w:sz w:val="22"/>
          <w:szCs w:val="22"/>
        </w:rPr>
        <w:t xml:space="preserve">The Data Protection Officer / Data Controller for [Insert Organisation Name] is [Insert Name]. All staff are responsible for complying with this policy and reporting any data breach or concern immediately.</w:t>
      </w:r>
    </w:p>
    <w:p>
      <w:r>
        <w:br w:type="page"/>
      </w:r>
    </w:p>
    <w:p>
      <w:pPr>
        <w:pBdr>
          <w:bottom w:val="single" w:color="D4AF37" w:sz="2" w:space="4"/>
        </w:pBdr>
        <w:spacing w:after="150" w:before="300"/>
      </w:pPr>
      <w:r>
        <w:rPr>
          <w:rFonts w:ascii="Arial" w:cs="Arial" w:eastAsia="Arial" w:hAnsi="Arial"/>
          <w:b/>
          <w:bCs/>
          <w:color w:val="0B1D3A"/>
          <w:sz w:val="28"/>
          <w:szCs w:val="28"/>
        </w:rPr>
        <w:t xml:space="preserve">Sign-Off</w:t>
      </w:r>
    </w:p>
    <w:p>
      <w:pPr>
        <w:spacing w:after="120" w:before="0" w:line="276"/>
      </w:pPr>
      <w:r>
        <w:rPr>
          <w:rFonts w:ascii="Arial" w:cs="Arial" w:eastAsia="Arial" w:hAnsi="Arial"/>
          <w:color w:val="000000"/>
          <w:sz w:val="22"/>
          <w:szCs w:val="22"/>
        </w:rPr>
        <w:t xml:space="preserve">This document has been approved and authorised by: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23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Title</w:t>
            </w:r>
          </w:p>
        </w:tc>
      </w:tr>
      <w:tr>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Name]</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Date]</w:t>
            </w:r>
          </w:p>
        </w:tc>
        <w:tc>
          <w:tcPr>
            <w:tcW w:type="dxa" w:w="237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Title]</w:t>
            </w:r>
          </w:p>
        </w:tc>
      </w:tr>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 Approved</w:t>
            </w:r>
          </w:p>
        </w:tc>
        <w:tc>
          <w:tcPr>
            <w:tcW w:type="dxa" w:w="23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Next Review</w:t>
            </w:r>
          </w:p>
        </w:tc>
      </w:tr>
      <w:tr>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Name]</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Date]</w:t>
            </w:r>
          </w:p>
        </w:tc>
        <w:tc>
          <w:tcPr>
            <w:tcW w:type="dxa" w:w="237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Date + 12 months]</w:t>
            </w:r>
          </w:p>
        </w:tc>
      </w:tr>
    </w:tbl>
    <w:p>
      <w:pPr>
        <w:spacing w:before="300"/>
      </w:pPr>
    </w:p>
    <w:p>
      <w:pPr>
        <w:pBdr>
          <w:top w:val="single" w:color="D4AF37" w:sz="4" w:space="8"/>
          <w:bottom w:val="single" w:color="D4AF37" w:sz="4" w:space="8"/>
        </w:pBdr>
        <w:spacing w:after="200" w:before="200"/>
        <w:jc w:val="center"/>
      </w:pPr>
      <w:r>
        <w:rPr>
          <w:rFonts w:ascii="Arial" w:cs="Arial" w:eastAsia="Arial" w:hAnsi="Arial"/>
          <w:b/>
          <w:bCs/>
          <w:color w:val="0B1D3A"/>
          <w:sz w:val="20"/>
          <w:szCs w:val="20"/>
        </w:rPr>
        <w:t xml:space="preserve">END OF DOCUMENT</w:t>
      </w:r>
    </w:p>
    <w:sectPr>
      <w:headerReference w:type="default" r:id="rId7"/>
      <w:footerReference w:type="default" r:id="rId8"/>
      <w:pgSz w:w="11906" w:h="16838"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2" w:space="4"/>
      </w:pBdr>
      <w:jc w:val="center"/>
    </w:pPr>
    <w:r>
      <w:rPr>
        <w:rFonts w:ascii="Arial" w:cs="Arial" w:eastAsia="Arial" w:hAnsi="Arial"/>
        <w:color w:val="999999"/>
        <w:sz w:val="14"/>
        <w:szCs w:val="14"/>
      </w:rPr>
      <w:t xml:space="preserve">© Barker Scott Ltd  |  barker-scott.co.uk  |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spacing w:after="100"/>
    </w:pPr>
    <w:r>
      <w:drawing>
        <wp:inline distT="0" distB="0" distL="0" distR="0">
          <wp:extent cx="19050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05000" cy="476250"/>
                  </a:xfrm>
                  <a:prstGeom prst="rect">
                    <a:avLst/>
                  </a:prstGeom>
                </pic:spPr>
              </pic:pic>
            </a:graphicData>
          </a:graphic>
        </wp:inline>
      </w:drawing>
    </w:r>
    <w:r>
      <w:rPr>
        <w:rFonts w:ascii="Arial" w:cs="Arial" w:eastAsia="Arial" w:hAnsi="Arial"/>
        <w:color w:val="5B4A00"/>
        <w:sz w:val="16"/>
        <w:szCs w:val="16"/>
      </w:rPr>
      <w:t xml:space="preserve">  |  Privacy &amp; Data Protection Policy  |  POL-AC-08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deda36e21feb3d2f69d01492dd41e26580fc81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deda36e21feb3d2f69d01492dd41e26580fc81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2026-05-15T09:04:37.960Z</dcterms:created>
  <dcterms:modified xsi:type="dcterms:W3CDTF">2026-05-15T09:04:37.960Z</dcterms:modified>
</cp:coreProperties>
</file>

<file path=docProps/custom.xml><?xml version="1.0" encoding="utf-8"?>
<Properties xmlns="http://schemas.openxmlformats.org/officeDocument/2006/custom-properties" xmlns:vt="http://schemas.openxmlformats.org/officeDocument/2006/docPropsVTypes"/>
</file>