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Product Management Policy</w:t>
      </w:r>
    </w:p>
    <w:p>
      <w:pPr>
        <w:spacing w:after="400"/>
        <w:jc w:val="center"/>
      </w:pPr>
      <w:r>
        <w:rPr>
          <w:rFonts w:ascii="Arial" w:cs="Arial" w:eastAsia="Arial" w:hAnsi="Arial"/>
          <w:b/>
          <w:bCs/>
          <w:color w:val="D4AF37"/>
          <w:sz w:val="20"/>
          <w:szCs w:val="20"/>
        </w:rPr>
        <w:t xml:space="preserve">Human Medicines Regulations 2012  |  CQC Regulation 12  |  MHRA Guidelines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POL-AC-03</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practitioners and clinical staff</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on product recall,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the safe procurement, storage, handling and administration of all products used in aesthetic procedures. This policy ensures compliance with the Human Medicines Regulations 2012, the CQC Fundamental Standards and MHRA guidance.</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Human Medicines Regulations 2012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Governs the manufacture, supply and administration of medicinal products including prescription-only medicines (POMs) such as botulinum toxin</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12 — safe care and treatment, including proper management of medicines and products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MHRA Guidance</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Medical devices and products must be CE/UKCA marked and sourced from authorised suppliers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Consumer Protection Act 1987</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Strict liability for damage caused by defective products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General Product Safety Regulations 2005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Products must be safe when used as intended</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COSHH Regulations 2002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Assessment and control of hazardous chemical substances</w:t>
            </w:r>
          </w:p>
        </w:tc>
      </w:tr>
    </w:tbl>
    <w:p>
      <w:pPr>
        <w:pBdr>
          <w:bottom w:val="single" w:color="D4AF37" w:sz="2" w:space="4"/>
        </w:pBdr>
        <w:spacing w:after="150" w:before="300"/>
      </w:pPr>
      <w:r>
        <w:rPr>
          <w:rFonts w:ascii="Arial" w:cs="Arial" w:eastAsia="Arial" w:hAnsi="Arial"/>
          <w:b/>
          <w:bCs/>
          <w:color w:val="0B1D3A"/>
          <w:sz w:val="28"/>
          <w:szCs w:val="28"/>
        </w:rPr>
        <w:t xml:space="preserve">3. Procurement</w:t>
      </w:r>
    </w:p>
    <w:p>
      <w:pPr>
        <w:pStyle w:val="ListParagraph"/>
        <w:numPr>
          <w:ilvl w:val="0"/>
          <w:numId w:val="2"/>
        </w:numPr>
      </w:pPr>
      <w:r>
        <w:rPr>
          <w:rFonts w:ascii="Arial" w:cs="Arial" w:eastAsia="Arial" w:hAnsi="Arial"/>
          <w:color w:val="000000"/>
          <w:sz w:val="22"/>
          <w:szCs w:val="22"/>
        </w:rPr>
        <w:t xml:space="preserve">All injectable products (dermal fillers, botulinum toxin) must be sourced from authorised UK distributors</w:t>
      </w:r>
    </w:p>
    <w:p>
      <w:pPr>
        <w:pStyle w:val="ListParagraph"/>
        <w:numPr>
          <w:ilvl w:val="0"/>
          <w:numId w:val="2"/>
        </w:numPr>
      </w:pPr>
      <w:r>
        <w:rPr>
          <w:rFonts w:ascii="Arial" w:cs="Arial" w:eastAsia="Arial" w:hAnsi="Arial"/>
          <w:color w:val="000000"/>
          <w:sz w:val="22"/>
          <w:szCs w:val="22"/>
        </w:rPr>
        <w:t xml:space="preserve">Products must be CE/UKCA marked and have a valid product licence</w:t>
      </w:r>
    </w:p>
    <w:p>
      <w:pPr>
        <w:pStyle w:val="ListParagraph"/>
        <w:numPr>
          <w:ilvl w:val="0"/>
          <w:numId w:val="2"/>
        </w:numPr>
      </w:pPr>
      <w:r>
        <w:rPr>
          <w:rFonts w:ascii="Arial" w:cs="Arial" w:eastAsia="Arial" w:hAnsi="Arial"/>
          <w:color w:val="000000"/>
          <w:sz w:val="22"/>
          <w:szCs w:val="22"/>
        </w:rPr>
        <w:t xml:space="preserve">Botulinum toxin is a prescription-only medicine (POM) and must be prescribed by an authorised prescriber (doctor, dentist, nurse prescriber or pharmacist prescriber)</w:t>
      </w:r>
    </w:p>
    <w:p>
      <w:pPr>
        <w:pStyle w:val="ListParagraph"/>
        <w:numPr>
          <w:ilvl w:val="0"/>
          <w:numId w:val="2"/>
        </w:numPr>
      </w:pPr>
      <w:r>
        <w:rPr>
          <w:rFonts w:ascii="Arial" w:cs="Arial" w:eastAsia="Arial" w:hAnsi="Arial"/>
          <w:color w:val="000000"/>
          <w:sz w:val="22"/>
          <w:szCs w:val="22"/>
        </w:rPr>
        <w:t xml:space="preserve">The organisation must maintain an approved supplier list and verify supplier credentials</w:t>
      </w:r>
    </w:p>
    <w:p>
      <w:pPr>
        <w:pStyle w:val="ListParagraph"/>
        <w:numPr>
          <w:ilvl w:val="0"/>
          <w:numId w:val="2"/>
        </w:numPr>
      </w:pPr>
      <w:r>
        <w:rPr>
          <w:rFonts w:ascii="Arial" w:cs="Arial" w:eastAsia="Arial" w:hAnsi="Arial"/>
          <w:color w:val="000000"/>
          <w:sz w:val="22"/>
          <w:szCs w:val="22"/>
        </w:rPr>
        <w:t xml:space="preserve">Products must not be sourced from unverified online sources or overseas suppliers without MHRA authorisation</w:t>
      </w:r>
    </w:p>
    <w:p>
      <w:pPr>
        <w:pBdr>
          <w:bottom w:val="single" w:color="D4AF37" w:sz="2" w:space="4"/>
        </w:pBdr>
        <w:spacing w:after="150" w:before="300"/>
      </w:pPr>
      <w:r>
        <w:rPr>
          <w:rFonts w:ascii="Arial" w:cs="Arial" w:eastAsia="Arial" w:hAnsi="Arial"/>
          <w:b/>
          <w:bCs/>
          <w:color w:val="0B1D3A"/>
          <w:sz w:val="28"/>
          <w:szCs w:val="28"/>
        </w:rPr>
        <w:t xml:space="preserve">4. Storage</w:t>
      </w:r>
    </w:p>
    <w:p>
      <w:pPr>
        <w:pStyle w:val="ListParagraph"/>
        <w:numPr>
          <w:ilvl w:val="0"/>
          <w:numId w:val="3"/>
        </w:numPr>
      </w:pPr>
      <w:r>
        <w:rPr>
          <w:rFonts w:ascii="Arial" w:cs="Arial" w:eastAsia="Arial" w:hAnsi="Arial"/>
          <w:color w:val="000000"/>
          <w:sz w:val="22"/>
          <w:szCs w:val="22"/>
        </w:rPr>
        <w:t xml:space="preserve">Products must be stored in accordance with manufacturer’s instructions</w:t>
      </w:r>
    </w:p>
    <w:p>
      <w:pPr>
        <w:pStyle w:val="ListParagraph"/>
        <w:numPr>
          <w:ilvl w:val="0"/>
          <w:numId w:val="3"/>
        </w:numPr>
      </w:pPr>
      <w:r>
        <w:rPr>
          <w:rFonts w:ascii="Arial" w:cs="Arial" w:eastAsia="Arial" w:hAnsi="Arial"/>
          <w:color w:val="000000"/>
          <w:sz w:val="22"/>
          <w:szCs w:val="22"/>
        </w:rPr>
        <w:t xml:space="preserve">Temperature-sensitive products must be stored in a designated clinical refrigerator with daily temperature monitoring (2–8°C)</w:t>
      </w:r>
    </w:p>
    <w:p>
      <w:pPr>
        <w:pStyle w:val="ListParagraph"/>
        <w:numPr>
          <w:ilvl w:val="0"/>
          <w:numId w:val="3"/>
        </w:numPr>
      </w:pPr>
      <w:r>
        <w:rPr>
          <w:rFonts w:ascii="Arial" w:cs="Arial" w:eastAsia="Arial" w:hAnsi="Arial"/>
          <w:color w:val="000000"/>
          <w:sz w:val="22"/>
          <w:szCs w:val="22"/>
        </w:rPr>
        <w:t xml:space="preserve">Temperature logs must be maintained and reviewed weekly</w:t>
      </w:r>
    </w:p>
    <w:p>
      <w:pPr>
        <w:pStyle w:val="ListParagraph"/>
        <w:numPr>
          <w:ilvl w:val="0"/>
          <w:numId w:val="3"/>
        </w:numPr>
      </w:pPr>
      <w:r>
        <w:rPr>
          <w:rFonts w:ascii="Arial" w:cs="Arial" w:eastAsia="Arial" w:hAnsi="Arial"/>
          <w:color w:val="000000"/>
          <w:sz w:val="22"/>
          <w:szCs w:val="22"/>
        </w:rPr>
        <w:t xml:space="preserve">Products must be stored in a secure area with restricted access</w:t>
      </w:r>
    </w:p>
    <w:p>
      <w:pPr>
        <w:pStyle w:val="ListParagraph"/>
        <w:numPr>
          <w:ilvl w:val="0"/>
          <w:numId w:val="3"/>
        </w:numPr>
      </w:pPr>
      <w:r>
        <w:rPr>
          <w:rFonts w:ascii="Arial" w:cs="Arial" w:eastAsia="Arial" w:hAnsi="Arial"/>
          <w:color w:val="000000"/>
          <w:sz w:val="22"/>
          <w:szCs w:val="22"/>
        </w:rPr>
        <w:t xml:space="preserve">Stock must be rotated on a first-in-first-out (FIFO) basis</w:t>
      </w:r>
    </w:p>
    <w:p>
      <w:pPr>
        <w:pStyle w:val="ListParagraph"/>
        <w:numPr>
          <w:ilvl w:val="0"/>
          <w:numId w:val="3"/>
        </w:numPr>
      </w:pPr>
      <w:r>
        <w:rPr>
          <w:rFonts w:ascii="Arial" w:cs="Arial" w:eastAsia="Arial" w:hAnsi="Arial"/>
          <w:color w:val="000000"/>
          <w:sz w:val="22"/>
          <w:szCs w:val="22"/>
        </w:rPr>
        <w:t xml:space="preserve">Expired products must be removed from stock immediately and disposed of safely</w:t>
      </w:r>
    </w:p>
    <w:p>
      <w:pPr>
        <w:pBdr>
          <w:bottom w:val="single" w:color="D4AF37" w:sz="2" w:space="4"/>
        </w:pBdr>
        <w:spacing w:after="150" w:before="300"/>
      </w:pPr>
      <w:r>
        <w:rPr>
          <w:rFonts w:ascii="Arial" w:cs="Arial" w:eastAsia="Arial" w:hAnsi="Arial"/>
          <w:b/>
          <w:bCs/>
          <w:color w:val="0B1D3A"/>
          <w:sz w:val="28"/>
          <w:szCs w:val="28"/>
        </w:rPr>
        <w:t xml:space="preserve">5. Administration</w:t>
      </w:r>
    </w:p>
    <w:p>
      <w:pPr>
        <w:pStyle w:val="ListParagraph"/>
        <w:numPr>
          <w:ilvl w:val="0"/>
          <w:numId w:val="4"/>
        </w:numPr>
      </w:pPr>
      <w:r>
        <w:rPr>
          <w:rFonts w:ascii="Arial" w:cs="Arial" w:eastAsia="Arial" w:hAnsi="Arial"/>
          <w:color w:val="000000"/>
          <w:sz w:val="22"/>
          <w:szCs w:val="22"/>
        </w:rPr>
        <w:t xml:space="preserve">Products must only be administered by practitioners who are trained and competent</w:t>
      </w:r>
    </w:p>
    <w:p>
      <w:pPr>
        <w:pStyle w:val="ListParagraph"/>
        <w:numPr>
          <w:ilvl w:val="0"/>
          <w:numId w:val="4"/>
        </w:numPr>
      </w:pPr>
      <w:r>
        <w:rPr>
          <w:rFonts w:ascii="Arial" w:cs="Arial" w:eastAsia="Arial" w:hAnsi="Arial"/>
          <w:color w:val="000000"/>
          <w:sz w:val="22"/>
          <w:szCs w:val="22"/>
        </w:rPr>
        <w:t xml:space="preserve">Batch number, product name, expiry date, quantity administered and injection sites must be recorded in the client’s treatment record</w:t>
      </w:r>
    </w:p>
    <w:p>
      <w:pPr>
        <w:pStyle w:val="ListParagraph"/>
        <w:numPr>
          <w:ilvl w:val="0"/>
          <w:numId w:val="4"/>
        </w:numPr>
      </w:pPr>
      <w:r>
        <w:rPr>
          <w:rFonts w:ascii="Arial" w:cs="Arial" w:eastAsia="Arial" w:hAnsi="Arial"/>
          <w:color w:val="000000"/>
          <w:sz w:val="22"/>
          <w:szCs w:val="22"/>
        </w:rPr>
        <w:t xml:space="preserve">Products must be checked against the prescription (for POMs) before administration</w:t>
      </w:r>
    </w:p>
    <w:p>
      <w:pPr>
        <w:pStyle w:val="ListParagraph"/>
        <w:numPr>
          <w:ilvl w:val="0"/>
          <w:numId w:val="4"/>
        </w:numPr>
      </w:pPr>
      <w:r>
        <w:rPr>
          <w:rFonts w:ascii="Arial" w:cs="Arial" w:eastAsia="Arial" w:hAnsi="Arial"/>
          <w:color w:val="000000"/>
          <w:sz w:val="22"/>
          <w:szCs w:val="22"/>
        </w:rPr>
        <w:t xml:space="preserve">Multi-dose vials must not be used for more than one client</w:t>
      </w:r>
    </w:p>
    <w:p>
      <w:pPr>
        <w:pStyle w:val="ListParagraph"/>
        <w:numPr>
          <w:ilvl w:val="0"/>
          <w:numId w:val="4"/>
        </w:numPr>
      </w:pPr>
      <w:r>
        <w:rPr>
          <w:rFonts w:ascii="Arial" w:cs="Arial" w:eastAsia="Arial" w:hAnsi="Arial"/>
          <w:color w:val="000000"/>
          <w:sz w:val="22"/>
          <w:szCs w:val="22"/>
        </w:rPr>
        <w:t xml:space="preserve">Any adverse reaction must be recorded and reported (see Adverse Event Management Policy)</w:t>
      </w:r>
    </w:p>
    <w:p>
      <w:pPr>
        <w:pBdr>
          <w:bottom w:val="single" w:color="D4AF37" w:sz="2" w:space="4"/>
        </w:pBdr>
        <w:spacing w:after="150" w:before="300"/>
      </w:pPr>
      <w:r>
        <w:rPr>
          <w:rFonts w:ascii="Arial" w:cs="Arial" w:eastAsia="Arial" w:hAnsi="Arial"/>
          <w:b/>
          <w:bCs/>
          <w:color w:val="0B1D3A"/>
          <w:sz w:val="28"/>
          <w:szCs w:val="28"/>
        </w:rPr>
        <w:t xml:space="preserve">6. Product Recalls and Safety Alerts</w:t>
      </w:r>
    </w:p>
    <w:p>
      <w:pPr>
        <w:spacing w:after="120" w:before="0" w:line="276"/>
      </w:pPr>
      <w:r>
        <w:rPr>
          <w:rFonts w:ascii="Arial" w:cs="Arial" w:eastAsia="Arial" w:hAnsi="Arial"/>
          <w:color w:val="000000"/>
          <w:sz w:val="22"/>
          <w:szCs w:val="22"/>
        </w:rPr>
        <w:t xml:space="preserve">The clinical lead must monitor MHRA safety alerts and field safety notices. In the event of a product recall, all affected stock must be quarantined immediately, affected clients must be contacted, and the incident must be reported to the CQC and MHRA as appropriate.</w:t>
      </w:r>
    </w:p>
    <w:p>
      <w:pPr>
        <w:pBdr>
          <w:bottom w:val="single" w:color="D4AF37" w:sz="2" w:space="4"/>
        </w:pBdr>
        <w:spacing w:after="150" w:before="300"/>
      </w:pPr>
      <w:r>
        <w:rPr>
          <w:rFonts w:ascii="Arial" w:cs="Arial" w:eastAsia="Arial" w:hAnsi="Arial"/>
          <w:b/>
          <w:bCs/>
          <w:color w:val="0B1D3A"/>
          <w:sz w:val="28"/>
          <w:szCs w:val="28"/>
        </w:rPr>
        <w:t xml:space="preserve">7. Record Keeping</w:t>
      </w:r>
    </w:p>
    <w:p>
      <w:pPr>
        <w:spacing w:after="120" w:before="0" w:line="276"/>
      </w:pPr>
      <w:r>
        <w:rPr>
          <w:rFonts w:ascii="Arial" w:cs="Arial" w:eastAsia="Arial" w:hAnsi="Arial"/>
          <w:color w:val="000000"/>
          <w:sz w:val="22"/>
          <w:szCs w:val="22"/>
        </w:rPr>
        <w:t xml:space="preserve">The following records must be maintained: product purchase records, stock control records, temperature monitoring logs, batch number traceability records, and disposal records. All records must be retained for a minimum of 10 years.</w:t>
      </w:r>
    </w:p>
    <w:p>
      <w:pPr>
        <w:pBdr>
          <w:bottom w:val="single" w:color="D4AF37" w:sz="2" w:space="4"/>
        </w:pBdr>
        <w:spacing w:after="150" w:before="300"/>
      </w:pPr>
      <w:r>
        <w:rPr>
          <w:rFonts w:ascii="Arial" w:cs="Arial" w:eastAsia="Arial" w:hAnsi="Arial"/>
          <w:b/>
          <w:bCs/>
          <w:color w:val="0B1D3A"/>
          <w:sz w:val="28"/>
          <w:szCs w:val="28"/>
        </w:rPr>
        <w:t xml:space="preserve">8. Responsibilities</w:t>
      </w:r>
    </w:p>
    <w:p>
      <w:pPr>
        <w:spacing w:after="120" w:before="0" w:line="276"/>
      </w:pPr>
      <w:r>
        <w:rPr>
          <w:rFonts w:ascii="Arial" w:cs="Arial" w:eastAsia="Arial" w:hAnsi="Arial"/>
          <w:color w:val="000000"/>
          <w:sz w:val="22"/>
          <w:szCs w:val="22"/>
        </w:rPr>
        <w:t xml:space="preserve">The Clinical Lead ([Insert Name]) is responsible for overseeing product management, maintaining the approved supplier list and responding to safety alerts. All practitioners are responsible for checking products before use and recording batch numbers.</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Product Management Policy  |  POL-AC-03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2026-05-15T09:04:37.584Z</dcterms:created>
  <dcterms:modified xsi:type="dcterms:W3CDTF">2026-05-15T09:04:37.584Z</dcterms:modified>
</cp:coreProperties>
</file>

<file path=docProps/custom.xml><?xml version="1.0" encoding="utf-8"?>
<Properties xmlns="http://schemas.openxmlformats.org/officeDocument/2006/custom-properties" xmlns:vt="http://schemas.openxmlformats.org/officeDocument/2006/docPropsVTypes"/>
</file>