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B1D3A"/>
          <w:sz w:val="36"/>
          <w:szCs w:val="36"/>
        </w:rPr>
        <w:t xml:space="preserve">CARE HOME POLICY</w:t>
      </w:r>
    </w:p>
    <w:p>
      <w:pPr>
        <w:spacing w:after="60" w:before="0"/>
        <w:jc w:val="center"/>
      </w:pPr>
      <w:r>
        <w:rPr>
          <w:rFonts w:ascii="Arial" w:cs="Arial" w:eastAsia="Arial" w:hAnsi="Arial"/>
          <w:b/>
          <w:bCs/>
          <w:color w:val="D4AF37"/>
          <w:sz w:val="26"/>
          <w:szCs w:val="26"/>
        </w:rPr>
        <w:t xml:space="preserve">END OF LIFE CARE POLICY</w:t>
      </w:r>
    </w:p>
    <w:p>
      <w:pPr>
        <w:pBdr>
          <w:bottom w:val="single" w:color="D4AF37" w:sz="6" w:space="1"/>
        </w:pBdr>
        <w:spacing w:after="200" w:before="200"/>
      </w:pPr>
    </w:p>
    <w:p>
      <w:pPr>
        <w:spacing w:after="60" w:before="60"/>
      </w:pPr>
      <w:r>
        <w:rPr>
          <w:rFonts w:ascii="Arial" w:cs="Arial" w:eastAsia="Arial" w:hAnsi="Arial"/>
          <w:b/>
          <w:bCs/>
          <w:color w:val="0B1D3A"/>
          <w:sz w:val="21"/>
          <w:szCs w:val="21"/>
        </w:rPr>
        <w:t xml:space="preserve">Document Reference: </w:t>
      </w:r>
      <w:r>
        <w:rPr>
          <w:rFonts w:ascii="Arial" w:cs="Arial" w:eastAsia="Arial" w:hAnsi="Arial"/>
          <w:color w:val="333333"/>
          <w:sz w:val="21"/>
          <w:szCs w:val="21"/>
        </w:rPr>
        <w:t xml:space="preserve">BS-CHP-007</w:t>
      </w:r>
    </w:p>
    <w:p>
      <w:pPr>
        <w:spacing w:after="60" w:before="60"/>
      </w:pPr>
      <w:r>
        <w:rPr>
          <w:rFonts w:ascii="Arial" w:cs="Arial" w:eastAsia="Arial" w:hAnsi="Arial"/>
          <w:b/>
          <w:bCs/>
          <w:color w:val="0B1D3A"/>
          <w:sz w:val="21"/>
          <w:szCs w:val="21"/>
        </w:rPr>
        <w:t xml:space="preserve">Effective Date: </w:t>
      </w:r>
      <w:r>
        <w:rPr>
          <w:rFonts w:ascii="Arial" w:cs="Arial" w:eastAsia="Arial" w:hAnsi="Arial"/>
          <w:color w:val="333333"/>
          <w:sz w:val="21"/>
          <w:szCs w:val="21"/>
        </w:rPr>
        <w:t xml:space="preserve">[DD/MM/YYYY]</w:t>
      </w:r>
    </w:p>
    <w:p>
      <w:pPr>
        <w:spacing w:after="60" w:before="60"/>
      </w:pPr>
      <w:r>
        <w:rPr>
          <w:rFonts w:ascii="Arial" w:cs="Arial" w:eastAsia="Arial" w:hAnsi="Arial"/>
          <w:b/>
          <w:bCs/>
          <w:color w:val="0B1D3A"/>
          <w:sz w:val="21"/>
          <w:szCs w:val="21"/>
        </w:rPr>
        <w:t xml:space="preserve">Review Date: </w:t>
      </w:r>
      <w:r>
        <w:rPr>
          <w:rFonts w:ascii="Arial" w:cs="Arial" w:eastAsia="Arial" w:hAnsi="Arial"/>
          <w:color w:val="333333"/>
          <w:sz w:val="21"/>
          <w:szCs w:val="21"/>
        </w:rPr>
        <w:t xml:space="preserve">[DD/MM/YYYY] (or sooner if legislation/guidance changes)</w:t>
      </w:r>
    </w:p>
    <w:p>
      <w:pPr>
        <w:spacing w:after="60" w:before="60"/>
      </w:pPr>
      <w:r>
        <w:rPr>
          <w:rFonts w:ascii="Arial" w:cs="Arial" w:eastAsia="Arial" w:hAnsi="Arial"/>
          <w:b/>
          <w:bCs/>
          <w:color w:val="0B1D3A"/>
          <w:sz w:val="21"/>
          <w:szCs w:val="21"/>
        </w:rPr>
        <w:t xml:space="preserve">Author: </w:t>
      </w:r>
      <w:r>
        <w:rPr>
          <w:rFonts w:ascii="Arial" w:cs="Arial" w:eastAsia="Arial" w:hAnsi="Arial"/>
          <w:color w:val="333333"/>
          <w:sz w:val="21"/>
          <w:szCs w:val="21"/>
        </w:rPr>
        <w:t xml:space="preserve">[Insert Name]</w:t>
      </w:r>
    </w:p>
    <w:p>
      <w:pPr>
        <w:spacing w:after="60" w:before="60"/>
      </w:pPr>
      <w:r>
        <w:rPr>
          <w:rFonts w:ascii="Arial" w:cs="Arial" w:eastAsia="Arial" w:hAnsi="Arial"/>
          <w:b/>
          <w:bCs/>
          <w:color w:val="0B1D3A"/>
          <w:sz w:val="21"/>
          <w:szCs w:val="21"/>
        </w:rPr>
        <w:t xml:space="preserve">Approved By: </w:t>
      </w:r>
      <w:r>
        <w:rPr>
          <w:rFonts w:ascii="Arial" w:cs="Arial" w:eastAsia="Arial" w:hAnsi="Arial"/>
          <w:color w:val="333333"/>
          <w:sz w:val="21"/>
          <w:szCs w:val="21"/>
        </w:rPr>
        <w:t xml:space="preserve">[Insert Name], Registered Manager</w:t>
      </w:r>
    </w:p>
    <w:p>
      <w:pPr>
        <w:spacing w:after="60" w:before="60"/>
      </w:pPr>
      <w:r>
        <w:rPr>
          <w:rFonts w:ascii="Arial" w:cs="Arial" w:eastAsia="Arial" w:hAnsi="Arial"/>
          <w:b/>
          <w:bCs/>
          <w:color w:val="0B1D3A"/>
          <w:sz w:val="21"/>
          <w:szCs w:val="21"/>
        </w:rPr>
        <w:t xml:space="preserve">Home Name: </w:t>
      </w:r>
      <w:r>
        <w:rPr>
          <w:rFonts w:ascii="Arial" w:cs="Arial" w:eastAsia="Arial" w:hAnsi="Arial"/>
          <w:color w:val="333333"/>
          <w:sz w:val="21"/>
          <w:szCs w:val="21"/>
        </w:rPr>
        <w:t xml:space="preserve">[Insert Care Home Name]</w:t>
      </w:r>
    </w:p>
    <w:p>
      <w:pPr>
        <w:spacing w:after="60" w:before="60"/>
      </w:pPr>
      <w:r>
        <w:rPr>
          <w:rFonts w:ascii="Arial" w:cs="Arial" w:eastAsia="Arial" w:hAnsi="Arial"/>
          <w:b/>
          <w:bCs/>
          <w:color w:val="0B1D3A"/>
          <w:sz w:val="21"/>
          <w:szCs w:val="21"/>
        </w:rPr>
        <w:t xml:space="preserve">CQC Provider ID: </w:t>
      </w:r>
      <w:r>
        <w:rPr>
          <w:rFonts w:ascii="Arial" w:cs="Arial" w:eastAsia="Arial" w:hAnsi="Arial"/>
          <w:color w:val="333333"/>
          <w:sz w:val="21"/>
          <w:szCs w:val="21"/>
        </w:rPr>
        <w:t xml:space="preserve">[Insert Provider ID]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 Purpose</w:t>
      </w:r>
    </w:p>
    <w:p>
      <w:pPr>
        <w:spacing w:after="60" w:before="60"/>
      </w:pPr>
      <w:r>
        <w:rPr>
          <w:rFonts w:ascii="Arial" w:cs="Arial" w:eastAsia="Arial" w:hAnsi="Arial"/>
          <w:color w:val="333333"/>
          <w:sz w:val="21"/>
          <w:szCs w:val="21"/>
        </w:rPr>
        <w:t xml:space="preserve">This policy sets out the approach of [Insert Care Home Name] to providing compassionate, dignified, and person-centred end of life care. It ensures that residents approaching the end of life, and their families, receive the highest standard of care and support in accordance with their wishes, preferences, and needs.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2. Scope</w:t>
      </w:r>
    </w:p>
    <w:p>
      <w:pPr>
        <w:spacing w:after="60" w:before="60"/>
      </w:pPr>
      <w:r>
        <w:rPr>
          <w:rFonts w:ascii="Arial" w:cs="Arial" w:eastAsia="Arial" w:hAnsi="Arial"/>
          <w:color w:val="333333"/>
          <w:sz w:val="21"/>
          <w:szCs w:val="21"/>
        </w:rPr>
        <w:t xml:space="preserve">This policy applies to all staff involved in the care of residents who are approaching the end of life, including those with a terminal diagnosis, those identified as being in the last year of life, and those who are in the final days and hours of life. It covers advance care planning, symptom management, spiritual and emotional support, bereavement care, and the practical arrangements following death.</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3. Legal &amp; Regulatory Framework</w:t>
      </w:r>
    </w:p>
    <w:p>
      <w:pPr>
        <w:spacing w:after="60" w:before="60"/>
      </w:pPr>
      <w:r>
        <w:rPr>
          <w:rFonts w:ascii="Arial" w:cs="Arial" w:eastAsia="Arial" w:hAnsi="Arial"/>
          <w:color w:val="333333"/>
          <w:sz w:val="21"/>
          <w:szCs w:val="21"/>
        </w:rPr>
        <w:t xml:space="preserve">Health and Social Care Act 2008 (Regulated Activities) Regulations 2014 – Regulation 9 (Person-Centred Care), Regulation 10 (Dignity and Respect), Regulation 11 (Need for Consent), Regulation 12 (Safe Care and Treatment); Mental Capacity Act 2005 – Sections 24–26 (Advance Decisions to Refuse Treatment); NICE Guideline NG31: Care of Dying Adults in the Last Days of Life (2015, updated 2023); NICE Quality Standard QS13: End of Life Care for Adults (2011, updated 2021); Ambitions for Palliative and End of Life Care: A National Framework (2021); CQC Key Lines of Enquiry – Caring domain; Human Rights Act 1998 – Articles 2, 3 &amp; 8; Notification of Deaths Regulations 2019.</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4. Advance Care Planning</w:t>
      </w:r>
    </w:p>
    <w:p>
      <w:pPr>
        <w:spacing w:after="60" w:before="60"/>
      </w:pPr>
      <w:r>
        <w:rPr>
          <w:rFonts w:ascii="Arial" w:cs="Arial" w:eastAsia="Arial" w:hAnsi="Arial"/>
          <w:color w:val="333333"/>
          <w:sz w:val="21"/>
          <w:szCs w:val="21"/>
        </w:rPr>
        <w:t xml:space="preserve">All residents must be offered the opportunity to discuss and record their wishes and preferences for end of life care. These conversations must be conducted sensitively, at the resident’s pace, and with their informed consent. The advance care plan must document: preferred place of care and death; treatment preferences (including resuscitation decisions – DNACPR/ReSPECT); any Advance Decision to Refuse Treatment (ADRT); any Lasting Power of Attorney for Health and Welfare; spiritual, cultural, and religious needs and preferences; who the resident wishes to be informed and involved in their care. Advance care plans must be reviewed regularly and whenever the resident’s condition changes. The plan must be easily accessible to all staff providing care and shared (with consent) with the GP, community nursing team, and ambulance service.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5. Identification &amp; Communication</w:t>
      </w:r>
    </w:p>
    <w:p>
      <w:pPr>
        <w:spacing w:after="60" w:before="60"/>
      </w:pPr>
      <w:r>
        <w:rPr>
          <w:rFonts w:ascii="Arial" w:cs="Arial" w:eastAsia="Arial" w:hAnsi="Arial"/>
          <w:color w:val="333333"/>
          <w:sz w:val="21"/>
          <w:szCs w:val="21"/>
        </w:rPr>
        <w:t xml:space="preserve">The home will use a recognised tool (e.g., the Gold Standards Framework Prognostic Indicator Guidance, or the Surprise Question: ‘Would you be surprised if this person died in the next 6–12 months?’) to identify residents who may be approaching the end of life. Once identified, the resident must be added to the home’s end of life register and discussed at the regular multidisciplinary team (MDT) meeting with the GP and community palliative care team. The resident and their family must be informed sensitively of the clinical assessment and involved in all decisions about care.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6. Symptom Management</w:t>
      </w:r>
    </w:p>
    <w:p>
      <w:pPr>
        <w:spacing w:after="60" w:before="60"/>
      </w:pPr>
      <w:r>
        <w:rPr>
          <w:rFonts w:ascii="Arial" w:cs="Arial" w:eastAsia="Arial" w:hAnsi="Arial"/>
          <w:color w:val="333333"/>
          <w:sz w:val="21"/>
          <w:szCs w:val="21"/>
        </w:rPr>
        <w:t xml:space="preserve">The home must ensure that residents approaching the end of life receive prompt and effective management of symptoms including pain, nausea, breathlessness, agitation, and secretions. Anticipatory medicines (sometimes called ‘just in case’ medications) must be prescribed in advance by the GP and stored in the home in accordance with the Medication Management Policy. Staff administering anticipatory medicines must be trained and competent to do so. The community palliative care team and/or specialist palliative care services must be contacted for advice on complex symptom management. Regular assessment of the resident’s comfort must be documented using a validated tool.</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7. Care in the Last Days of Life</w:t>
      </w:r>
    </w:p>
    <w:p>
      <w:pPr>
        <w:spacing w:after="60" w:before="60"/>
      </w:pPr>
      <w:r>
        <w:rPr>
          <w:rFonts w:ascii="Arial" w:cs="Arial" w:eastAsia="Arial" w:hAnsi="Arial"/>
          <w:color w:val="333333"/>
          <w:sz w:val="21"/>
          <w:szCs w:val="21"/>
        </w:rPr>
        <w:t xml:space="preserve">When it is recognised that a resident is likely to be in the last days or hours of life, an individualised care plan must be put in place. This must include: review and discontinuation of non-essential medications and interventions; ongoing assessment of comfort and symptom control; oral care; skin care; positioning and pressure area management; continued communication with the resident (even if they are unconscious); support for family members to be present (including overnight where possible); provision of a quiet, private, and comfortable environment; attention to spiritual, religious, and cultural needs.</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8. After Death</w:t>
      </w:r>
    </w:p>
    <w:p>
      <w:pPr>
        <w:spacing w:after="60" w:before="60"/>
      </w:pPr>
      <w:r>
        <w:rPr>
          <w:rFonts w:ascii="Arial" w:cs="Arial" w:eastAsia="Arial" w:hAnsi="Arial"/>
          <w:color w:val="333333"/>
          <w:sz w:val="21"/>
          <w:szCs w:val="21"/>
        </w:rPr>
        <w:t xml:space="preserve">Following the death of a resident, the body must be treated with dignity and respect in accordance with the wishes of the deceased and their family. The GP must be notified to issue the Medical Certificate of Cause of Death (MCCD), or the death must be reported to the Coroner if the cause is uncertain, the death was unexpected, or the deceased had not been seen by a doctor within 28 days before death. CQC must be notified via statutory notification. The family must be supported with practical arrangements and signposted to bereavement support services. The resident’s belongings must be handled sensitively and returned to the family with a documented inventory.</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9. Staff Support</w:t>
      </w:r>
    </w:p>
    <w:p>
      <w:pPr>
        <w:spacing w:after="60" w:before="60"/>
      </w:pPr>
      <w:r>
        <w:rPr>
          <w:rFonts w:ascii="Arial" w:cs="Arial" w:eastAsia="Arial" w:hAnsi="Arial"/>
          <w:color w:val="333333"/>
          <w:sz w:val="21"/>
          <w:szCs w:val="21"/>
        </w:rPr>
        <w:t xml:space="preserve">The home recognises that caring for dying residents can be emotionally demanding. Staff must have access to debriefing sessions following the death of a resident. The home’s Employee Assistance Programme (EAP) or equivalent support service must be promoted. Supervision sessions must provide an opportunity to discuss the emotional impact of end of life care.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10. Training</w:t>
      </w:r>
    </w:p>
    <w:p>
      <w:pPr>
        <w:spacing w:after="60" w:before="60"/>
      </w:pPr>
      <w:r>
        <w:rPr>
          <w:rFonts w:ascii="Arial" w:cs="Arial" w:eastAsia="Arial" w:hAnsi="Arial"/>
          <w:color w:val="333333"/>
          <w:sz w:val="21"/>
          <w:szCs w:val="21"/>
        </w:rPr>
        <w:t xml:space="preserve">All care staff must complete end of life care awareness training at induction and annually. Senior carers and nurses must receive enhanced training in advance care planning, symptom management, anticipatory prescribing, and communication skills. At least one member of staff per shift should hold a qualification in end of life care (e.g., Level 3 Certificate or equivalent). Training records must be maintained.</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11. Monitoring &amp; Review</w:t>
      </w:r>
    </w:p>
    <w:p>
      <w:pPr>
        <w:spacing w:after="60" w:before="60"/>
      </w:pPr>
      <w:r>
        <w:rPr>
          <w:rFonts w:ascii="Arial" w:cs="Arial" w:eastAsia="Arial" w:hAnsi="Arial"/>
          <w:color w:val="333333"/>
          <w:sz w:val="21"/>
          <w:szCs w:val="21"/>
        </w:rPr>
        <w:t xml:space="preserve">End of life care must be audited using a recognised framework (e.g., the National Audit of Care at the End of Life or the Gold Standards Framework). Family feedback must be sought following bereavement. This policy must be reviewed annually or following a complaint, serious incident, CQC inspection finding, or change in best practice guidance.</w:t>
      </w:r>
    </w:p>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12. Version Control</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106"/>
        <w:gridCol w:w="3000"/>
      </w:tblGrid>
      <w:tr>
        <w:tc>
          <w:tcPr>
            <w:tcW w:type="dxa" w:w="1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30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[DD/MM/YYYY]</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[Insert Name]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Initial issue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i/>
                <w:iCs/>
                <w:color w:val="666666"/>
                <w:sz w:val="18"/>
                <w:szCs w:val="18"/>
              </w:rPr>
              <w:t xml:space="preserve"/>
            </w:r>
          </w:p>
        </w:tc>
      </w:tr>
    </w:tbl>
    <w:p>
      <w:pPr>
        <w:pBdr>
          <w:bottom w:val="single" w:color="D4AF37" w:sz="6" w:space="1"/>
        </w:pBdr>
        <w:spacing w:after="200" w:before="200"/>
      </w:pPr>
    </w:p>
    <w:p>
      <w:pPr>
        <w:spacing w:after="120" w:before="300"/>
      </w:pPr>
      <w:r>
        <w:rPr>
          <w:rFonts w:ascii="Arial" w:cs="Arial" w:eastAsia="Arial" w:hAnsi="Arial"/>
          <w:b/>
          <w:bCs/>
          <w:color w:val="0B1D3A"/>
          <w:sz w:val="26"/>
          <w:szCs w:val="26"/>
        </w:rPr>
        <w:t xml:space="preserve">13. Sign-Off &amp; Approval</w:t>
      </w:r>
    </w:p>
    <w:p>
      <w:pPr>
        <w:spacing w:after="60" w:before="60"/>
      </w:pPr>
      <w:r>
        <w:rPr>
          <w:rFonts w:ascii="Arial" w:cs="Arial" w:eastAsia="Arial" w:hAnsi="Arial"/>
          <w:color w:val="333333"/>
          <w:sz w:val="21"/>
          <w:szCs w:val="21"/>
        </w:rPr>
        <w:t xml:space="preserve">This policy has been reviewed and approved by the undersigned. It shall be reviewed at least annually, or following any significant incident, regulatory change, or CQC inspection finding.</w:t>
      </w:r>
    </w:p>
    <w:p>
      <w:pPr>
        <w:spacing w:after="10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7"/>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Responsible Individual / Proprietor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Nurse Manager</w:t>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2377"/>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300"/>
      </w:pPr>
    </w:p>
    <w:p>
      <w:pPr>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506"/>
      </w:tabs>
      <w:spacing w:before="80"/>
    </w:pPr>
    <w:r>
      <w:rPr>
        <w:rFonts w:ascii="Arial" w:cs="Arial" w:eastAsia="Arial" w:hAnsi="Arial"/>
        <w:color w:val="0B1D3A"/>
        <w:sz w:val="16"/>
        <w:szCs w:val="16"/>
      </w:rPr>
      <w:t xml:space="preserve">BS-CHP-007</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rFonts w:ascii="Arial" w:cs="Arial" w:eastAsia="Arial" w:hAnsi="Arial"/>
        <w:b/>
        <w:bCs/>
        <w:color w:val="0B1D3A"/>
        <w:sz w:val="24"/>
        <w:szCs w:val="24"/>
      </w:rPr>
      <w:t xml:space="preserve">BARKER SCOTT</w:t>
    </w:r>
    <w:r>
      <w:rPr>
        <w:rFonts w:ascii="Arial" w:cs="Arial" w:eastAsia="Arial" w:hAnsi="Arial"/>
        <w:color w:val="D4AF37"/>
        <w:sz w:val="18"/>
        <w:szCs w:val="18"/>
      </w:rPr>
      <w:t xml:space="preserve">  |  </w:t>
    </w:r>
    <w:r>
      <w:rPr>
        <w:rFonts w:ascii="Arial" w:cs="Arial" w:eastAsia="Arial" w:hAnsi="Arial"/>
        <w:i/>
        <w:iCs/>
        <w:color w:val="D4AF37"/>
        <w:sz w:val="18"/>
        <w:szCs w:val="18"/>
      </w:rPr>
      <w:t xml:space="preserve">Care Home Policy</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2026-05-15T11:04:01.773Z</dcterms:created>
  <dcterms:modified xsi:type="dcterms:W3CDTF">2026-05-15T11:04:01.773Z</dcterms:modified>
</cp:coreProperties>
</file>

<file path=docProps/custom.xml><?xml version="1.0" encoding="utf-8"?>
<Properties xmlns="http://schemas.openxmlformats.org/officeDocument/2006/custom-properties" xmlns:vt="http://schemas.openxmlformats.org/officeDocument/2006/docPropsVTypes"/>
</file>