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B1D3A"/>
          <w:sz w:val="36"/>
          <w:szCs w:val="36"/>
        </w:rPr>
        <w:t xml:space="preserve">CARE HOME POLICY</w:t>
      </w:r>
    </w:p>
    <w:p>
      <w:pPr>
        <w:spacing w:after="60" w:before="0"/>
        <w:jc w:val="center"/>
      </w:pPr>
      <w:r>
        <w:rPr>
          <w:rFonts w:ascii="Arial" w:cs="Arial" w:eastAsia="Arial" w:hAnsi="Arial"/>
          <w:b/>
          <w:bCs/>
          <w:color w:val="D4AF37"/>
          <w:sz w:val="26"/>
          <w:szCs w:val="26"/>
        </w:rPr>
        <w:t xml:space="preserve">FALLS PREVENTION &amp; MANAGEMENT POLICY</w:t>
      </w:r>
    </w:p>
    <w:p>
      <w:pPr>
        <w:pBdr>
          <w:bottom w:val="single" w:color="D4AF37" w:sz="6" w:space="1"/>
        </w:pBdr>
        <w:spacing w:after="200" w:before="200"/>
      </w:pPr>
    </w:p>
    <w:p>
      <w:pPr>
        <w:spacing w:after="60" w:before="60"/>
      </w:pPr>
      <w:r>
        <w:rPr>
          <w:rFonts w:ascii="Arial" w:cs="Arial" w:eastAsia="Arial" w:hAnsi="Arial"/>
          <w:b/>
          <w:bCs/>
          <w:color w:val="0B1D3A"/>
          <w:sz w:val="21"/>
          <w:szCs w:val="21"/>
        </w:rPr>
        <w:t xml:space="preserve">Document Reference: </w:t>
      </w:r>
      <w:r>
        <w:rPr>
          <w:rFonts w:ascii="Arial" w:cs="Arial" w:eastAsia="Arial" w:hAnsi="Arial"/>
          <w:color w:val="333333"/>
          <w:sz w:val="21"/>
          <w:szCs w:val="21"/>
        </w:rPr>
        <w:t xml:space="preserve">BS-CHP-005</w:t>
      </w:r>
    </w:p>
    <w:p>
      <w:pPr>
        <w:spacing w:after="60" w:before="60"/>
      </w:pPr>
      <w:r>
        <w:rPr>
          <w:rFonts w:ascii="Arial" w:cs="Arial" w:eastAsia="Arial" w:hAnsi="Arial"/>
          <w:b/>
          <w:bCs/>
          <w:color w:val="0B1D3A"/>
          <w:sz w:val="21"/>
          <w:szCs w:val="21"/>
        </w:rPr>
        <w:t xml:space="preserve">Effective Date: </w:t>
      </w:r>
      <w:r>
        <w:rPr>
          <w:rFonts w:ascii="Arial" w:cs="Arial" w:eastAsia="Arial" w:hAnsi="Arial"/>
          <w:color w:val="333333"/>
          <w:sz w:val="21"/>
          <w:szCs w:val="21"/>
        </w:rPr>
        <w:t xml:space="preserve">[DD/MM/YYYY]</w:t>
      </w:r>
    </w:p>
    <w:p>
      <w:pPr>
        <w:spacing w:after="60" w:before="60"/>
      </w:pPr>
      <w:r>
        <w:rPr>
          <w:rFonts w:ascii="Arial" w:cs="Arial" w:eastAsia="Arial" w:hAnsi="Arial"/>
          <w:b/>
          <w:bCs/>
          <w:color w:val="0B1D3A"/>
          <w:sz w:val="21"/>
          <w:szCs w:val="21"/>
        </w:rPr>
        <w:t xml:space="preserve">Review Date: </w:t>
      </w:r>
      <w:r>
        <w:rPr>
          <w:rFonts w:ascii="Arial" w:cs="Arial" w:eastAsia="Arial" w:hAnsi="Arial"/>
          <w:color w:val="333333"/>
          <w:sz w:val="21"/>
          <w:szCs w:val="21"/>
        </w:rPr>
        <w:t xml:space="preserve">[DD/MM/YYYY] (or sooner if legislation/guidance changes)</w:t>
      </w:r>
    </w:p>
    <w:p>
      <w:pPr>
        <w:spacing w:after="60" w:before="60"/>
      </w:pPr>
      <w:r>
        <w:rPr>
          <w:rFonts w:ascii="Arial" w:cs="Arial" w:eastAsia="Arial" w:hAnsi="Arial"/>
          <w:b/>
          <w:bCs/>
          <w:color w:val="0B1D3A"/>
          <w:sz w:val="21"/>
          <w:szCs w:val="21"/>
        </w:rPr>
        <w:t xml:space="preserve">Author: </w:t>
      </w:r>
      <w:r>
        <w:rPr>
          <w:rFonts w:ascii="Arial" w:cs="Arial" w:eastAsia="Arial" w:hAnsi="Arial"/>
          <w:color w:val="333333"/>
          <w:sz w:val="21"/>
          <w:szCs w:val="21"/>
        </w:rPr>
        <w:t xml:space="preserve">[Insert Name]</w:t>
      </w:r>
    </w:p>
    <w:p>
      <w:pPr>
        <w:spacing w:after="60" w:before="60"/>
      </w:pPr>
      <w:r>
        <w:rPr>
          <w:rFonts w:ascii="Arial" w:cs="Arial" w:eastAsia="Arial" w:hAnsi="Arial"/>
          <w:b/>
          <w:bCs/>
          <w:color w:val="0B1D3A"/>
          <w:sz w:val="21"/>
          <w:szCs w:val="21"/>
        </w:rPr>
        <w:t xml:space="preserve">Approved By: </w:t>
      </w:r>
      <w:r>
        <w:rPr>
          <w:rFonts w:ascii="Arial" w:cs="Arial" w:eastAsia="Arial" w:hAnsi="Arial"/>
          <w:color w:val="333333"/>
          <w:sz w:val="21"/>
          <w:szCs w:val="21"/>
        </w:rPr>
        <w:t xml:space="preserve">[Insert Name], Registered Manager</w:t>
      </w:r>
    </w:p>
    <w:p>
      <w:pPr>
        <w:spacing w:after="60" w:before="60"/>
      </w:pPr>
      <w:r>
        <w:rPr>
          <w:rFonts w:ascii="Arial" w:cs="Arial" w:eastAsia="Arial" w:hAnsi="Arial"/>
          <w:b/>
          <w:bCs/>
          <w:color w:val="0B1D3A"/>
          <w:sz w:val="21"/>
          <w:szCs w:val="21"/>
        </w:rPr>
        <w:t xml:space="preserve">Home Name: </w:t>
      </w:r>
      <w:r>
        <w:rPr>
          <w:rFonts w:ascii="Arial" w:cs="Arial" w:eastAsia="Arial" w:hAnsi="Arial"/>
          <w:color w:val="333333"/>
          <w:sz w:val="21"/>
          <w:szCs w:val="21"/>
        </w:rPr>
        <w:t xml:space="preserve">[Insert Care Home Name]</w:t>
      </w:r>
    </w:p>
    <w:p>
      <w:pPr>
        <w:spacing w:after="60" w:before="60"/>
      </w:pPr>
      <w:r>
        <w:rPr>
          <w:rFonts w:ascii="Arial" w:cs="Arial" w:eastAsia="Arial" w:hAnsi="Arial"/>
          <w:b/>
          <w:bCs/>
          <w:color w:val="0B1D3A"/>
          <w:sz w:val="21"/>
          <w:szCs w:val="21"/>
        </w:rPr>
        <w:t xml:space="preserve">CQC Provider ID: </w:t>
      </w:r>
      <w:r>
        <w:rPr>
          <w:rFonts w:ascii="Arial" w:cs="Arial" w:eastAsia="Arial" w:hAnsi="Arial"/>
          <w:color w:val="333333"/>
          <w:sz w:val="21"/>
          <w:szCs w:val="21"/>
        </w:rPr>
        <w:t xml:space="preserve">[Insert Provider ID]</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 Purpose</w:t>
      </w:r>
    </w:p>
    <w:p>
      <w:pPr>
        <w:spacing w:after="60" w:before="60"/>
      </w:pPr>
      <w:r>
        <w:rPr>
          <w:rFonts w:ascii="Arial" w:cs="Arial" w:eastAsia="Arial" w:hAnsi="Arial"/>
          <w:color w:val="333333"/>
          <w:sz w:val="21"/>
          <w:szCs w:val="21"/>
        </w:rPr>
        <w:t xml:space="preserve">This policy sets out the approach of [Insert Care Home Name] to the prevention, assessment, and management of falls among residents. Falls are the most common cause of injury-related death in people aged 75 and over in the UK, and a significant cause of morbidity, hospitalisation, and reduced quality of life. The home is committed to reducing the incidence and impact of falls through a proactive, evidence-based approach.</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2. Scope</w:t>
      </w:r>
    </w:p>
    <w:p>
      <w:pPr>
        <w:spacing w:after="60" w:before="60"/>
      </w:pPr>
      <w:r>
        <w:rPr>
          <w:rFonts w:ascii="Arial" w:cs="Arial" w:eastAsia="Arial" w:hAnsi="Arial"/>
          <w:color w:val="333333"/>
          <w:sz w:val="21"/>
          <w:szCs w:val="21"/>
        </w:rPr>
        <w:t xml:space="preserve">This policy applies to all residents, staff, agency workers, and volunteers. It covers falls risk assessment, care planning for falls prevention, post-fall management, environmental safety, and governance of falls-related incidents.</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3. Legal &amp; Regulatory Framework</w:t>
      </w:r>
    </w:p>
    <w:p>
      <w:pPr>
        <w:spacing w:after="60" w:before="60"/>
      </w:pPr>
      <w:r>
        <w:rPr>
          <w:rFonts w:ascii="Arial" w:cs="Arial" w:eastAsia="Arial" w:hAnsi="Arial"/>
          <w:color w:val="333333"/>
          <w:sz w:val="21"/>
          <w:szCs w:val="21"/>
        </w:rPr>
        <w:t xml:space="preserve">Health and Social Care Act 2008 (Regulated Activities) Regulations 2014 – Regulation 12 (Safe Care and Treatment); Health and Safety at Work etc. Act 1974 – Section 3 (Duty to non-employees); NICE Guideline CG161: Falls in Older People – Assessing Risk and Prevention (2013, updated 2024); NICE Quality Standard QS86: Falls in Older People (2015); Reporting of Injuries, Diseases and Dangerous Occurrences Regulations 2013 (RIDDOR) (SI 2013/1471); CQC Key Lines of Enquiry – Safe domain; National Patient Safety Agency (NPSA) Slips, Trips and Falls guidance.</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4. Falls Risk Assessment</w:t>
      </w:r>
    </w:p>
    <w:p>
      <w:pPr>
        <w:spacing w:after="60" w:before="60"/>
      </w:pPr>
      <w:r>
        <w:rPr>
          <w:rFonts w:ascii="Arial" w:cs="Arial" w:eastAsia="Arial" w:hAnsi="Arial"/>
          <w:color w:val="333333"/>
          <w:sz w:val="21"/>
          <w:szCs w:val="21"/>
        </w:rPr>
        <w:t xml:space="preserve">Every resident must receive a multifactorial falls risk assessment within 24 hours of admission and following any fall, change in condition, or change in medication. The assessment must use a validated tool (e.g., Morse Fall Scale, STRATIFY, or equivalent) and must consider: history of previous falls; gait, balance and mobility; visual impairment; cognitive impairment; continence needs; medication review (particularly sedatives, antihypertensives, psychotropics); postural hypotension; footwear; environmental hazards; nutritional status and hydration; fear of falling. The outcome must be documented in the resident’s care plan with individualised interventions.</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5. Prevention Strategies</w:t>
      </w:r>
    </w:p>
    <w:p>
      <w:pPr>
        <w:spacing w:after="60" w:before="60"/>
      </w:pPr>
      <w:r>
        <w:rPr>
          <w:rFonts w:ascii="Arial" w:cs="Arial" w:eastAsia="Arial" w:hAnsi="Arial"/>
          <w:color w:val="333333"/>
          <w:sz w:val="21"/>
          <w:szCs w:val="21"/>
        </w:rPr>
        <w:t xml:space="preserve">Individualised care plans must include evidence-based interventions tailored to the resident’s identified risk factors. These may include: strength and balance exercise programme (referral to physiotherapy/falls team); medication review by GP or pharmacist (in line with NICE NG5 and STOPP/START criteria); vision assessment and correction; continence management plan; appropriate footwear assessment; nutritional optimisation (vitamin D and calcium supplementation where indicated); cognitive and sensory support; assistive technology (sensor mats, call bells within reach, bed/chair sensors, low-profile beds, hip protectors); environmental modifications (adequate lighting, clear pathways, handrails, non-slip flooring, removal of trip hazards).</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6. Post-Fall Management</w:t>
      </w:r>
    </w:p>
    <w:p>
      <w:pPr>
        <w:spacing w:after="60" w:before="60"/>
      </w:pPr>
      <w:r>
        <w:rPr>
          <w:rFonts w:ascii="Arial" w:cs="Arial" w:eastAsia="Arial" w:hAnsi="Arial"/>
          <w:color w:val="333333"/>
          <w:sz w:val="21"/>
          <w:szCs w:val="21"/>
        </w:rPr>
        <w:t xml:space="preserve">Following a fall, the priority is to assess the resident for injury using a structured post-fall protocol. The resident must not be moved until a competent assessment has been completed (unless there is immediate danger). Neurological observations must be commenced if the resident has struck their head or is on anticoagulant therapy. If injury is suspected, the GP or emergency services must be contacted without delay. A detailed post-fall assessment must be completed, including: time, location, activity at time of fall, witnesses, injuries sustained, observations taken, actions taken. The falls risk assessment and care plan must be reviewed and updated. The resident’s family/next of kin must be notified in accordance with the home’s communication policy.</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7. Reporting &amp; Governance</w:t>
      </w:r>
    </w:p>
    <w:p>
      <w:pPr>
        <w:spacing w:after="60" w:before="60"/>
      </w:pPr>
      <w:r>
        <w:rPr>
          <w:rFonts w:ascii="Arial" w:cs="Arial" w:eastAsia="Arial" w:hAnsi="Arial"/>
          <w:color w:val="333333"/>
          <w:sz w:val="21"/>
          <w:szCs w:val="21"/>
        </w:rPr>
        <w:t xml:space="preserve">All falls must be recorded on the home’s incident reporting system. Falls resulting in serious injury (fracture, head injury requiring hospital treatment) must be notified to CQC via statutory notification. Falls resulting in death or specified injury to a non-employee must be reported under RIDDOR. Falls data must be analysed monthly to identify trends, patterns, and hotspots. Findings must be discussed at clinical governance meetings with action plans implemented. A falls dashboard should be maintained and reviewed by the Registered Manager.</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8. Training</w:t>
      </w:r>
    </w:p>
    <w:p>
      <w:pPr>
        <w:spacing w:after="60" w:before="60"/>
      </w:pPr>
      <w:r>
        <w:rPr>
          <w:rFonts w:ascii="Arial" w:cs="Arial" w:eastAsia="Arial" w:hAnsi="Arial"/>
          <w:color w:val="333333"/>
          <w:sz w:val="21"/>
          <w:szCs w:val="21"/>
        </w:rPr>
        <w:t xml:space="preserve">All staff must receive falls awareness training at induction and annually thereafter. Staff responsible for conducting falls risk assessments must receive enhanced training in the use of the validated assessment tool. Moving and handling training must include post-fall recovery techniques (e.g., use of hover mats, inflatable lifting cushions). Training records must be maintained.</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9. Monitoring &amp; Review</w:t>
      </w:r>
    </w:p>
    <w:p>
      <w:pPr>
        <w:spacing w:after="60" w:before="60"/>
      </w:pPr>
      <w:r>
        <w:rPr>
          <w:rFonts w:ascii="Arial" w:cs="Arial" w:eastAsia="Arial" w:hAnsi="Arial"/>
          <w:color w:val="333333"/>
          <w:sz w:val="21"/>
          <w:szCs w:val="21"/>
        </w:rPr>
        <w:t xml:space="preserve">Falls risk assessments must be reviewed monthly and after every fall. Falls incidence data must be benchmarked against national averages where available. This policy must be reviewed annually or following a significant falls incident, coroner’s enquiry, change in best practice guidance, or CQC inspection finding.</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10. Version Control</w:t>
      </w:r>
    </w:p>
    <w:p>
      <w:pPr>
        <w:spacing w:after="100"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106"/>
        <w:gridCol w:w="3000"/>
      </w:tblGrid>
      <w:tr>
        <w:tc>
          <w:tcPr>
            <w:tcW w:type="dxa" w:w="1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0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30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Changes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[DD/MM/YYYY]</w:t>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[Insert Name]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Initial issue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r>
    </w:tbl>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11. Sign-Off &amp; Approval</w:t>
      </w:r>
    </w:p>
    <w:p>
      <w:pPr>
        <w:spacing w:after="60" w:before="60"/>
      </w:pPr>
      <w:r>
        <w:rPr>
          <w:rFonts w:ascii="Arial" w:cs="Arial" w:eastAsia="Arial" w:hAnsi="Arial"/>
          <w:color w:val="333333"/>
          <w:sz w:val="21"/>
          <w:szCs w:val="21"/>
        </w:rPr>
        <w:t xml:space="preserve">This policy has been reviewed and approved by the undersigned. It shall be reviewed at least annually, or following any significant incident, regulatory change, or CQC inspection finding.</w:t>
      </w:r>
    </w:p>
    <w:p>
      <w:pPr>
        <w:spacing w:after="100"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7"/>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7"/>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Registered Manager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Responsible Individual / Proprietor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Clinical Lead / Nurse Manager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bl>
    <w:p>
      <w:pPr>
        <w:spacing w:after="0" w:before="300"/>
      </w:pPr>
    </w:p>
    <w:p>
      <w:pPr>
        <w:jc w:val="center"/>
      </w:pPr>
      <w:r>
        <w:rPr>
          <w:rFonts w:ascii="Arial" w:cs="Arial" w:eastAsia="Arial" w:hAnsi="Arial"/>
          <w:i/>
          <w:iCs/>
          <w:color w:val="D4AF37"/>
          <w:sz w:val="16"/>
          <w:szCs w:val="16"/>
        </w:rPr>
        <w:t xml:space="preserve">Barker Scott – Care Home Compliance</w:t>
      </w:r>
    </w:p>
    <w:p>
      <w:pPr>
        <w:spacing w:after="0" w:before="40"/>
        <w:jc w:val="center"/>
      </w:pPr>
      <w:r>
        <w:rPr>
          <w:rFonts w:ascii="Arial" w:cs="Arial" w:eastAsia="Arial" w:hAnsi="Arial"/>
          <w:color w:val="0B1D3A"/>
          <w:sz w:val="16"/>
          <w:szCs w:val="16"/>
        </w:rPr>
        <w:t xml:space="preserve">barker-scott.co.uk</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9506"/>
      </w:tabs>
      <w:spacing w:before="80"/>
    </w:pPr>
    <w:r>
      <w:rPr>
        <w:rFonts w:ascii="Arial" w:cs="Arial" w:eastAsia="Arial" w:hAnsi="Arial"/>
        <w:color w:val="0B1D3A"/>
        <w:sz w:val="16"/>
        <w:szCs w:val="16"/>
      </w:rPr>
      <w:t xml:space="preserve">BS-CHP-005</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rPr>
        <w:rFonts w:ascii="Arial" w:cs="Arial" w:eastAsia="Arial" w:hAnsi="Arial"/>
        <w:b/>
        <w:bCs/>
        <w:color w:val="0B1D3A"/>
        <w:sz w:val="24"/>
        <w:szCs w:val="24"/>
      </w:rPr>
      <w:t xml:space="preserve">BARKER SCOTT</w:t>
    </w:r>
    <w:r>
      <w:rPr>
        <w:rFonts w:ascii="Arial" w:cs="Arial" w:eastAsia="Arial" w:hAnsi="Arial"/>
        <w:color w:val="D4AF37"/>
        <w:sz w:val="18"/>
        <w:szCs w:val="18"/>
      </w:rPr>
      <w:t xml:space="preserve">  |  </w:t>
    </w:r>
    <w:r>
      <w:rPr>
        <w:rFonts w:ascii="Arial" w:cs="Arial" w:eastAsia="Arial" w:hAnsi="Arial"/>
        <w:i/>
        <w:iCs/>
        <w:color w:val="D4AF37"/>
        <w:sz w:val="18"/>
        <w:szCs w:val="18"/>
      </w:rPr>
      <w:t xml:space="preserve">Care Home Policy</w:t>
    </w:r>
  </w:p>
  <w:p>
    <w:pPr>
      <w:pBdr>
        <w:bottom w:val="single" w:color="D4AF37"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2026-05-15T11:04:01.711Z</dcterms:created>
  <dcterms:modified xsi:type="dcterms:W3CDTF">2026-05-15T11:04:01.711Z</dcterms:modified>
</cp:coreProperties>
</file>

<file path=docProps/custom.xml><?xml version="1.0" encoding="utf-8"?>
<Properties xmlns="http://schemas.openxmlformats.org/officeDocument/2006/custom-properties" xmlns:vt="http://schemas.openxmlformats.org/officeDocument/2006/docPropsVTypes"/>
</file>