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B1D3A"/>
          <w:sz w:val="36"/>
          <w:szCs w:val="36"/>
        </w:rPr>
        <w:t xml:space="preserve">CARE HOME POLICY</w:t>
      </w:r>
    </w:p>
    <w:p>
      <w:pPr>
        <w:spacing w:after="60" w:before="0"/>
        <w:jc w:val="center"/>
      </w:pPr>
      <w:r>
        <w:rPr>
          <w:rFonts w:ascii="Arial" w:cs="Arial" w:eastAsia="Arial" w:hAnsi="Arial"/>
          <w:b/>
          <w:bCs/>
          <w:color w:val="D4AF37"/>
          <w:sz w:val="26"/>
          <w:szCs w:val="26"/>
        </w:rPr>
        <w:t xml:space="preserve">FIRE SAFETY POLICY</w:t>
      </w:r>
    </w:p>
    <w:p>
      <w:pPr>
        <w:pBdr>
          <w:bottom w:val="single" w:color="D4AF37" w:sz="6" w:space="1"/>
        </w:pBdr>
        <w:spacing w:after="200" w:before="200"/>
      </w:pPr>
    </w:p>
    <w:p>
      <w:pPr>
        <w:spacing w:after="60" w:before="60"/>
      </w:pPr>
      <w:r>
        <w:rPr>
          <w:rFonts w:ascii="Arial" w:cs="Arial" w:eastAsia="Arial" w:hAnsi="Arial"/>
          <w:b/>
          <w:bCs/>
          <w:color w:val="0B1D3A"/>
          <w:sz w:val="21"/>
          <w:szCs w:val="21"/>
        </w:rPr>
        <w:t xml:space="preserve">Document Reference: </w:t>
      </w:r>
      <w:r>
        <w:rPr>
          <w:rFonts w:ascii="Arial" w:cs="Arial" w:eastAsia="Arial" w:hAnsi="Arial"/>
          <w:color w:val="333333"/>
          <w:sz w:val="21"/>
          <w:szCs w:val="21"/>
        </w:rPr>
        <w:t xml:space="preserve">BS-CHP-010</w:t>
      </w:r>
    </w:p>
    <w:p>
      <w:pPr>
        <w:spacing w:after="60" w:before="60"/>
      </w:pPr>
      <w:r>
        <w:rPr>
          <w:rFonts w:ascii="Arial" w:cs="Arial" w:eastAsia="Arial" w:hAnsi="Arial"/>
          <w:b/>
          <w:bCs/>
          <w:color w:val="0B1D3A"/>
          <w:sz w:val="21"/>
          <w:szCs w:val="21"/>
        </w:rPr>
        <w:t xml:space="preserve">Effective Date: </w:t>
      </w:r>
      <w:r>
        <w:rPr>
          <w:rFonts w:ascii="Arial" w:cs="Arial" w:eastAsia="Arial" w:hAnsi="Arial"/>
          <w:color w:val="333333"/>
          <w:sz w:val="21"/>
          <w:szCs w:val="21"/>
        </w:rPr>
        <w:t xml:space="preserve">[DD/MM/YYYY]</w:t>
      </w:r>
    </w:p>
    <w:p>
      <w:pPr>
        <w:spacing w:after="60" w:before="60"/>
      </w:pPr>
      <w:r>
        <w:rPr>
          <w:rFonts w:ascii="Arial" w:cs="Arial" w:eastAsia="Arial" w:hAnsi="Arial"/>
          <w:b/>
          <w:bCs/>
          <w:color w:val="0B1D3A"/>
          <w:sz w:val="21"/>
          <w:szCs w:val="21"/>
        </w:rPr>
        <w:t xml:space="preserve">Review Date: </w:t>
      </w:r>
      <w:r>
        <w:rPr>
          <w:rFonts w:ascii="Arial" w:cs="Arial" w:eastAsia="Arial" w:hAnsi="Arial"/>
          <w:color w:val="333333"/>
          <w:sz w:val="21"/>
          <w:szCs w:val="21"/>
        </w:rPr>
        <w:t xml:space="preserve">[DD/MM/YYYY] (or sooner if legislation/guidance changes)</w:t>
      </w:r>
    </w:p>
    <w:p>
      <w:pPr>
        <w:spacing w:after="60" w:before="60"/>
      </w:pPr>
      <w:r>
        <w:rPr>
          <w:rFonts w:ascii="Arial" w:cs="Arial" w:eastAsia="Arial" w:hAnsi="Arial"/>
          <w:b/>
          <w:bCs/>
          <w:color w:val="0B1D3A"/>
          <w:sz w:val="21"/>
          <w:szCs w:val="21"/>
        </w:rPr>
        <w:t xml:space="preserve">Author: </w:t>
      </w:r>
      <w:r>
        <w:rPr>
          <w:rFonts w:ascii="Arial" w:cs="Arial" w:eastAsia="Arial" w:hAnsi="Arial"/>
          <w:color w:val="333333"/>
          <w:sz w:val="21"/>
          <w:szCs w:val="21"/>
        </w:rPr>
        <w:t xml:space="preserve">[Insert Name]</w:t>
      </w:r>
    </w:p>
    <w:p>
      <w:pPr>
        <w:spacing w:after="60" w:before="60"/>
      </w:pPr>
      <w:r>
        <w:rPr>
          <w:rFonts w:ascii="Arial" w:cs="Arial" w:eastAsia="Arial" w:hAnsi="Arial"/>
          <w:b/>
          <w:bCs/>
          <w:color w:val="0B1D3A"/>
          <w:sz w:val="21"/>
          <w:szCs w:val="21"/>
        </w:rPr>
        <w:t xml:space="preserve">Approved By: </w:t>
      </w:r>
      <w:r>
        <w:rPr>
          <w:rFonts w:ascii="Arial" w:cs="Arial" w:eastAsia="Arial" w:hAnsi="Arial"/>
          <w:color w:val="333333"/>
          <w:sz w:val="21"/>
          <w:szCs w:val="21"/>
        </w:rPr>
        <w:t xml:space="preserve">[Insert Name], Registered Manager</w:t>
      </w:r>
    </w:p>
    <w:p>
      <w:pPr>
        <w:spacing w:after="60" w:before="60"/>
      </w:pPr>
      <w:r>
        <w:rPr>
          <w:rFonts w:ascii="Arial" w:cs="Arial" w:eastAsia="Arial" w:hAnsi="Arial"/>
          <w:b/>
          <w:bCs/>
          <w:color w:val="0B1D3A"/>
          <w:sz w:val="21"/>
          <w:szCs w:val="21"/>
        </w:rPr>
        <w:t xml:space="preserve">Home Name: </w:t>
      </w:r>
      <w:r>
        <w:rPr>
          <w:rFonts w:ascii="Arial" w:cs="Arial" w:eastAsia="Arial" w:hAnsi="Arial"/>
          <w:color w:val="333333"/>
          <w:sz w:val="21"/>
          <w:szCs w:val="21"/>
        </w:rPr>
        <w:t xml:space="preserve">[Insert Care Home Name]</w:t>
      </w:r>
    </w:p>
    <w:p>
      <w:pPr>
        <w:spacing w:after="60" w:before="60"/>
      </w:pPr>
      <w:r>
        <w:rPr>
          <w:rFonts w:ascii="Arial" w:cs="Arial" w:eastAsia="Arial" w:hAnsi="Arial"/>
          <w:b/>
          <w:bCs/>
          <w:color w:val="0B1D3A"/>
          <w:sz w:val="21"/>
          <w:szCs w:val="21"/>
        </w:rPr>
        <w:t xml:space="preserve">CQC Provider ID: </w:t>
      </w:r>
      <w:r>
        <w:rPr>
          <w:rFonts w:ascii="Arial" w:cs="Arial" w:eastAsia="Arial" w:hAnsi="Arial"/>
          <w:color w:val="333333"/>
          <w:sz w:val="21"/>
          <w:szCs w:val="21"/>
        </w:rPr>
        <w:t xml:space="preserve">[Insert Provider ID]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 Purpose</w:t>
      </w:r>
    </w:p>
    <w:p>
      <w:pPr>
        <w:spacing w:after="60" w:before="60"/>
      </w:pPr>
      <w:r>
        <w:rPr>
          <w:rFonts w:ascii="Arial" w:cs="Arial" w:eastAsia="Arial" w:hAnsi="Arial"/>
          <w:color w:val="333333"/>
          <w:sz w:val="21"/>
          <w:szCs w:val="21"/>
        </w:rPr>
        <w:t xml:space="preserve">This policy sets out the fire safety arrangements for [Insert Care Home Name], ensuring the safety of all residents, staff, visitors, and contractors in the event of fire. It establishes the responsibilities, procedures, and systems for fire prevention, detection, warning, evacuation, and emergency response.</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2. Scope</w:t>
      </w:r>
    </w:p>
    <w:p>
      <w:pPr>
        <w:spacing w:after="60" w:before="60"/>
      </w:pPr>
      <w:r>
        <w:rPr>
          <w:rFonts w:ascii="Arial" w:cs="Arial" w:eastAsia="Arial" w:hAnsi="Arial"/>
          <w:color w:val="333333"/>
          <w:sz w:val="21"/>
          <w:szCs w:val="21"/>
        </w:rPr>
        <w:t xml:space="preserve">This policy applies to all persons on the premises, including residents (many of whom may have limited mobility, cognitive impairment, or sensory impairment), staff, agency workers, volunteers, visitors, and contractors. It covers all areas of the building and grounds.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3. Legal &amp; Regulatory Framework</w:t>
      </w:r>
    </w:p>
    <w:p>
      <w:pPr>
        <w:spacing w:after="60" w:before="60"/>
      </w:pPr>
      <w:r>
        <w:rPr>
          <w:rFonts w:ascii="Arial" w:cs="Arial" w:eastAsia="Arial" w:hAnsi="Arial"/>
          <w:color w:val="333333"/>
          <w:sz w:val="21"/>
          <w:szCs w:val="21"/>
        </w:rPr>
        <w:t xml:space="preserve">Regulatory Reform (Fire Safety) Order 2005 (the ‘Fire Safety Order’) – Articles 8–22; Fire Safety Act 2021; Fire Safety (England) Regulations 2022; Health and Safety at Work etc. Act 1974 – Sections 2 &amp; 3; Health and Social Care Act 2008 (Regulated Activities) Regulations 2014 – Regulation 12 (Safe Care and Treatment) and Regulation 15 (Premises and Equipment); Building Regulations 2010 – Approved Document B (Fire Safety); HM Government Fire Safety Risk Assessment: Residential Care Premises (2006); BS 5839-1:2017 (Fire detection and alarm systems); BS 5266-1:2016 (Emergency lighting); CQC Key Lines of Enquiry – Safe domain.</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4. Responsible Person</w:t>
      </w:r>
    </w:p>
    <w:p>
      <w:pPr>
        <w:spacing w:after="60" w:before="60"/>
      </w:pPr>
      <w:r>
        <w:rPr>
          <w:rFonts w:ascii="Arial" w:cs="Arial" w:eastAsia="Arial" w:hAnsi="Arial"/>
          <w:color w:val="333333"/>
          <w:sz w:val="21"/>
          <w:szCs w:val="21"/>
        </w:rPr>
        <w:t xml:space="preserve">Under the Regulatory Reform (Fire Safety) Order 2005, the Responsible Person is the employer or person who has control of the premises. For [Insert Care Home Name], the Responsible Person is: [Insert Name and Job Title]. The Responsible Person must ensure that a suitable and sufficient fire risk assessment is carried out, reviewed regularly, and that the significant findings are implemented. A Competent Person must be appointed to assist with fire safety measures: [Insert Name or External Fire Safety Consultant].</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5. Fire Risk Assessment</w:t>
      </w:r>
    </w:p>
    <w:p>
      <w:pPr>
        <w:spacing w:after="60" w:before="60"/>
      </w:pPr>
      <w:r>
        <w:rPr>
          <w:rFonts w:ascii="Arial" w:cs="Arial" w:eastAsia="Arial" w:hAnsi="Arial"/>
          <w:color w:val="333333"/>
          <w:sz w:val="21"/>
          <w:szCs w:val="21"/>
        </w:rPr>
        <w:t xml:space="preserve">A Fire Risk Assessment (FRA) must be carried out by a competent person in accordance with Article 9 of the Fire Safety Order. The FRA must be reviewed at least annually, or sooner following any fire incident, near miss, building alteration, change of use, or enforcement action. The FRA must identify fire hazards (sources of ignition, fuel, and oxygen), persons at risk (with particular attention to sleeping residents with impaired mobility or cognition), existing fire safety measures, and the residual risk. Significant findings must be recorded and an action plan implemented with clear responsibilities and timescales. The FRA must be available for inspection by the Fire and Rescue Service and CQC.</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6. Fire Prevention</w:t>
      </w:r>
    </w:p>
    <w:p>
      <w:pPr>
        <w:spacing w:after="60" w:before="60"/>
      </w:pPr>
      <w:r>
        <w:rPr>
          <w:rFonts w:ascii="Arial" w:cs="Arial" w:eastAsia="Arial" w:hAnsi="Arial"/>
          <w:color w:val="333333"/>
          <w:sz w:val="21"/>
          <w:szCs w:val="21"/>
        </w:rPr>
        <w:t xml:space="preserve">Sources of ignition must be controlled: smoking is only permitted in designated external areas with flame-retardant bins; portable heaters are not permitted; electrical equipment must be PAT tested annually; cooking appliances must be supervised; arson prevention measures must be in place (secure bins, restricted access to flammable materials). Housekeeping must ensure that escape routes are kept clear at all times. Fire doors must not be propped or wedged open (unless held by electromagnetic devices linked to the fire alarm). Combustible materials must be stored safely and away from ignition sources.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7. Fire Detection, Warning &amp; Fighting Equipment</w:t>
      </w:r>
    </w:p>
    <w:p>
      <w:pPr>
        <w:spacing w:after="60" w:before="60"/>
      </w:pPr>
      <w:r>
        <w:rPr>
          <w:rFonts w:ascii="Arial" w:cs="Arial" w:eastAsia="Arial" w:hAnsi="Arial"/>
          <w:color w:val="333333"/>
          <w:sz w:val="21"/>
          <w:szCs w:val="21"/>
        </w:rPr>
        <w:t xml:space="preserve">The home must be fitted with an automatic fire detection and alarm system compliant with BS 5839-1:2017 (Category L1 for care homes). The system must be tested weekly (different call point each week) and serviced quarterly by a competent engineer. Emergency lighting must comply with BS 5266-1:2016, tested monthly (function test) and annually (full duration test). Fire extinguishers must be serviced annually and located in accordance with the FRA. Sprinkler systems (where fitted) must be maintained in accordance with BS EN 12845.</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8. Personal Emergency Evacuation Plans (PEEPs)</w:t>
      </w:r>
    </w:p>
    <w:p>
      <w:pPr>
        <w:spacing w:after="60" w:before="60"/>
      </w:pPr>
      <w:r>
        <w:rPr>
          <w:rFonts w:ascii="Arial" w:cs="Arial" w:eastAsia="Arial" w:hAnsi="Arial"/>
          <w:color w:val="333333"/>
          <w:sz w:val="21"/>
          <w:szCs w:val="21"/>
        </w:rPr>
        <w:t xml:space="preserve">Every resident must have an individual Personal Emergency Evacuation Plan (PEEP) completed on admission and reviewed at least quarterly or following any change in mobility, cognition, or care needs. The PEEP must specify: the resident’s room location; mobility and cognitive status; level of assistance required for evacuation; equipment needed (wheelchair, evacuation chair, ski sheet, hover mattress); preferred evacuation route; any communication needs (hearing/visual impairment, language). PEEPs must be stored at the fire panel, in the resident’s room, and in the care plan file. Night staff must be familiar with all PEEPs.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9. Evacuation Procedure</w:t>
      </w:r>
    </w:p>
    <w:p>
      <w:pPr>
        <w:spacing w:after="60" w:before="60"/>
      </w:pPr>
      <w:r>
        <w:rPr>
          <w:rFonts w:ascii="Arial" w:cs="Arial" w:eastAsia="Arial" w:hAnsi="Arial"/>
          <w:color w:val="333333"/>
          <w:sz w:val="21"/>
          <w:szCs w:val="21"/>
        </w:rPr>
        <w:t xml:space="preserve">The home operates a progressive horizontal evacuation (PHE) strategy, evacuating residents from the fire-affected compartment to an adjacent safe compartment in the first instance, followed by vertical and full evacuation if required. On discovery of fire: activate the nearest fire alarm call point; call 999; evacuate residents from the immediate area; close doors behind you; do not use lifts; assemble at the designated assembly point; conduct a roll call. The fire evacuation procedure must be practised at least every 6 months, including at least one simulated night-time evacuation per year. Fire marshals/wardens must be appointed and trained. Records of all drills must be maintained.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10. Training</w:t>
      </w:r>
    </w:p>
    <w:p>
      <w:pPr>
        <w:spacing w:after="60" w:before="60"/>
      </w:pPr>
      <w:r>
        <w:rPr>
          <w:rFonts w:ascii="Arial" w:cs="Arial" w:eastAsia="Arial" w:hAnsi="Arial"/>
          <w:color w:val="333333"/>
          <w:sz w:val="21"/>
          <w:szCs w:val="21"/>
        </w:rPr>
        <w:t xml:space="preserve">All staff must receive fire safety induction training on their first day, covering: fire prevention, action on discovering a fire, action on hearing the alarm, evacuation procedures, location of fire exits and equipment, and the use of fire extinguishers. Annual refresher training must be provided. Fire marshals/wardens must receive enhanced training. Staff must be trained in the use of evacuation equipment (ski sheets, evacuation chairs, hover mattresses). Training records must be maintained.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11. Monitoring &amp; Review</w:t>
      </w:r>
    </w:p>
    <w:p>
      <w:pPr>
        <w:spacing w:after="60" w:before="60"/>
      </w:pPr>
      <w:r>
        <w:rPr>
          <w:rFonts w:ascii="Arial" w:cs="Arial" w:eastAsia="Arial" w:hAnsi="Arial"/>
          <w:color w:val="333333"/>
          <w:sz w:val="21"/>
          <w:szCs w:val="21"/>
        </w:rPr>
        <w:t xml:space="preserve">Fire alarm tests, emergency lighting tests, fire door checks, fire extinguisher inspections, and fire drill records must be maintained in the Fire Safety Log Book. The FRA must be reviewed annually. This policy must be reviewed annually or following a fire incident, Fire and Rescue Service visit, enforcement notice, building alteration, or CQC inspection finding. Any deficiencies identified must be rectified within the timescale specified in the FRA action plan.</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12. Version Control</w:t>
      </w:r>
    </w:p>
    <w:p>
      <w:pPr>
        <w:spacing w:after="10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106"/>
        <w:gridCol w:w="3000"/>
      </w:tblGrid>
      <w:tr>
        <w:tc>
          <w:tcPr>
            <w:tcW w:type="dxa" w:w="1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0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30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[DD/MM/YYYY]</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[Insert Name]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Initial issue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r>
    </w:tbl>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13. Sign-Off &amp; Approval</w:t>
      </w:r>
    </w:p>
    <w:p>
      <w:pPr>
        <w:spacing w:after="60" w:before="60"/>
      </w:pPr>
      <w:r>
        <w:rPr>
          <w:rFonts w:ascii="Arial" w:cs="Arial" w:eastAsia="Arial" w:hAnsi="Arial"/>
          <w:color w:val="333333"/>
          <w:sz w:val="21"/>
          <w:szCs w:val="21"/>
        </w:rPr>
        <w:t xml:space="preserve">This policy has been reviewed and approved by the undersigned. It shall be reviewed at least annually, or following any significant incident, regulatory change, or CQC inspection finding.</w:t>
      </w:r>
    </w:p>
    <w:p>
      <w:pPr>
        <w:spacing w:after="10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7"/>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7"/>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Registered Manager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Responsible Individual / Proprietor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Clinical Lead / Nurse Manager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300"/>
      </w:pPr>
    </w:p>
    <w:p>
      <w:pPr>
        <w:jc w:val="center"/>
      </w:pPr>
      <w:r>
        <w:rPr>
          <w:rFonts w:ascii="Arial" w:cs="Arial" w:eastAsia="Arial" w:hAnsi="Arial"/>
          <w:i/>
          <w:iCs/>
          <w:color w:val="D4AF37"/>
          <w:sz w:val="16"/>
          <w:szCs w:val="16"/>
        </w:rPr>
        <w:t xml:space="preserve">Barker Scott – Care Home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506"/>
      </w:tabs>
      <w:spacing w:before="80"/>
    </w:pPr>
    <w:r>
      <w:rPr>
        <w:rFonts w:ascii="Arial" w:cs="Arial" w:eastAsia="Arial" w:hAnsi="Arial"/>
        <w:color w:val="0B1D3A"/>
        <w:sz w:val="16"/>
        <w:szCs w:val="16"/>
      </w:rPr>
      <w:t xml:space="preserve">BS-CHP-010</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rPr>
        <w:rFonts w:ascii="Arial" w:cs="Arial" w:eastAsia="Arial" w:hAnsi="Arial"/>
        <w:b/>
        <w:bCs/>
        <w:color w:val="0B1D3A"/>
        <w:sz w:val="24"/>
        <w:szCs w:val="24"/>
      </w:rPr>
      <w:t xml:space="preserve">BARKER SCOTT</w:t>
    </w:r>
    <w:r>
      <w:rPr>
        <w:rFonts w:ascii="Arial" w:cs="Arial" w:eastAsia="Arial" w:hAnsi="Arial"/>
        <w:color w:val="D4AF37"/>
        <w:sz w:val="18"/>
        <w:szCs w:val="18"/>
      </w:rPr>
      <w:t xml:space="preserve">  |  </w:t>
    </w:r>
    <w:r>
      <w:rPr>
        <w:rFonts w:ascii="Arial" w:cs="Arial" w:eastAsia="Arial" w:hAnsi="Arial"/>
        <w:i/>
        <w:iCs/>
        <w:color w:val="D4AF37"/>
        <w:sz w:val="18"/>
        <w:szCs w:val="18"/>
      </w:rPr>
      <w:t xml:space="preserve">Care Home Policy</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2026-05-15T11:04:01.872Z</dcterms:created>
  <dcterms:modified xsi:type="dcterms:W3CDTF">2026-05-15T11:04:01.872Z</dcterms:modified>
</cp:coreProperties>
</file>

<file path=docProps/custom.xml><?xml version="1.0" encoding="utf-8"?>
<Properties xmlns="http://schemas.openxmlformats.org/officeDocument/2006/custom-properties" xmlns:vt="http://schemas.openxmlformats.org/officeDocument/2006/docPropsVTypes"/>
</file>