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MEDICATION MANAGEMENT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BS-CHP-002</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provides a framework for the safe ordering, receipt, storage, administration, recording, and disposal of medicines within [Insert Care Home Name]. It ensures compliance with regulatory requirements and national best practice guidance to protect residents from medication-related harm.</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prescribed medicines, over-the-counter (OTC) medicines, controlled drugs, homely remedies, nutritional supplements, and topical preparations administered to or self-administered by residents. It covers all staff involved in any aspect of the medication process.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The Health and Social Care Act 2008 (Regulated Activities) Regulations 2014 – Regulation 12 (Safe Care and Treatment, specifically 12(2)(g)); The Human Medicines Regulations 2012 (SI 2012/1916); The Misuse of Drugs Act 1971; The Misuse of Drugs Regulations 2001 (SI 2001/3998); The Controlled Drugs (Supervision of Management and Use) Regulations 2013 (SI 2013/373); NICE Guideline SC1: Managing Medicines in Care Homes (2014, updated 2023); NICE Guideline NG5: Medicines Optimisation (2015); The Medicines Act 1968; CQC Medicines Management Key Lines of Enquiry (KLOEs).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Ordering &amp; Receipt of Medicines</w:t>
      </w:r>
    </w:p>
    <w:p>
      <w:pPr>
        <w:spacing w:after="60" w:before="60"/>
      </w:pPr>
      <w:r>
        <w:rPr>
          <w:rFonts w:ascii="Arial" w:cs="Arial" w:eastAsia="Arial" w:hAnsi="Arial"/>
          <w:color w:val="333333"/>
          <w:sz w:val="21"/>
          <w:szCs w:val="21"/>
        </w:rPr>
        <w:t xml:space="preserve">Medicines must be ordered in a timely manner to avoid gaps in supply, typically 7 working days before the current cycle ends. On receipt, medicines must be checked against the delivery note for correct resident name, drug name, strength, quantity, and expiry date. Controlled drugs must be received and signed for by two members of staff and entered immediately into the Controlled Drugs Register. Any discrepancies must be reported to the supplying pharmacy and documented on the home’s incident log.</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Storage</w:t>
      </w:r>
    </w:p>
    <w:p>
      <w:pPr>
        <w:spacing w:after="60" w:before="60"/>
      </w:pPr>
      <w:r>
        <w:rPr>
          <w:rFonts w:ascii="Arial" w:cs="Arial" w:eastAsia="Arial" w:hAnsi="Arial"/>
          <w:color w:val="333333"/>
          <w:sz w:val="21"/>
          <w:szCs w:val="21"/>
        </w:rPr>
        <w:t xml:space="preserve">Medicines must be stored securely in locked trolleys or cabinets within a locked clinical room. Controlled drugs must be stored in a separate, fixed, double-locked controlled drugs cabinet meeting the Misuse of Drugs (Safe Custody) Regulations 1973 requirements. Fridge-stored medicines must be kept between 2–8°C with daily minimum/maximum temperature recording. Ambient storage temperature must not exceed 25°C. External preparations must be stored separately from internal medicines. Flammable liquids must be stored in accordance with COSHH requirements. Residents who self-administer must have a lockable facility in their room following a self-administration risk assessment.</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Administration</w:t>
      </w:r>
    </w:p>
    <w:p>
      <w:pPr>
        <w:spacing w:after="80" w:before="200"/>
      </w:pPr>
      <w:r>
        <w:rPr>
          <w:rFonts w:ascii="Arial" w:cs="Arial" w:eastAsia="Arial" w:hAnsi="Arial"/>
          <w:b/>
          <w:bCs/>
          <w:color w:val="D4AF37"/>
          <w:sz w:val="22"/>
          <w:szCs w:val="22"/>
        </w:rPr>
        <w:t xml:space="preserve">General Principles</w:t>
      </w:r>
    </w:p>
    <w:p>
      <w:pPr>
        <w:spacing w:after="60" w:before="60"/>
      </w:pPr>
      <w:r>
        <w:rPr>
          <w:rFonts w:ascii="Arial" w:cs="Arial" w:eastAsia="Arial" w:hAnsi="Arial"/>
          <w:color w:val="333333"/>
          <w:sz w:val="21"/>
          <w:szCs w:val="21"/>
        </w:rPr>
        <w:t xml:space="preserve">Only staff who have completed medication administration training and have been assessed as competent may administer medicines. The Six Rights must be followed: Right Resident, Right Medicine, Right Dose, Right Route, Right Time, Right Documentation. Medicines must be administered from the original container. Crushing or covert administration requires specific authorisation (see below).</w:t>
      </w:r>
    </w:p>
    <w:p>
      <w:pPr>
        <w:spacing w:after="80" w:before="200"/>
      </w:pPr>
      <w:r>
        <w:rPr>
          <w:rFonts w:ascii="Arial" w:cs="Arial" w:eastAsia="Arial" w:hAnsi="Arial"/>
          <w:b/>
          <w:bCs/>
          <w:color w:val="D4AF37"/>
          <w:sz w:val="22"/>
          <w:szCs w:val="22"/>
        </w:rPr>
        <w:t xml:space="preserve">Controlled Drugs</w:t>
      </w:r>
    </w:p>
    <w:p>
      <w:pPr>
        <w:spacing w:after="60" w:before="60"/>
      </w:pPr>
      <w:r>
        <w:rPr>
          <w:rFonts w:ascii="Arial" w:cs="Arial" w:eastAsia="Arial" w:hAnsi="Arial"/>
          <w:color w:val="333333"/>
          <w:sz w:val="21"/>
          <w:szCs w:val="21"/>
        </w:rPr>
        <w:t xml:space="preserve">Controlled Drugs (Schedules 2–4) must be administered by a trained staff member and witnessed by a second trained staff member. Both must sign the MAR chart and the Controlled Drugs Register. The running balance must be confirmed at each administration. Weekly stock checks must be conducted and recorded, plus a full audit monthly.</w:t>
      </w:r>
    </w:p>
    <w:p>
      <w:pPr>
        <w:spacing w:after="80" w:before="200"/>
      </w:pPr>
      <w:r>
        <w:rPr>
          <w:rFonts w:ascii="Arial" w:cs="Arial" w:eastAsia="Arial" w:hAnsi="Arial"/>
          <w:b/>
          <w:bCs/>
          <w:color w:val="D4AF37"/>
          <w:sz w:val="22"/>
          <w:szCs w:val="22"/>
        </w:rPr>
        <w:t xml:space="preserve">PRN (As Required) Medicines</w:t>
      </w:r>
    </w:p>
    <w:p>
      <w:pPr>
        <w:spacing w:after="60" w:before="60"/>
      </w:pPr>
      <w:r>
        <w:rPr>
          <w:rFonts w:ascii="Arial" w:cs="Arial" w:eastAsia="Arial" w:hAnsi="Arial"/>
          <w:color w:val="333333"/>
          <w:sz w:val="21"/>
          <w:szCs w:val="21"/>
        </w:rPr>
        <w:t xml:space="preserve">Each PRN medicine must have a clear PRN protocol specifying the indication, dose, maximum frequency, minimum interval between doses, and monitoring requirements. The reason for administration and the outcome/effectiveness must be recorded on the MAR chart. PRN protocols must be reviewed monthly.</w:t>
      </w:r>
    </w:p>
    <w:p>
      <w:pPr>
        <w:spacing w:after="80" w:before="200"/>
      </w:pPr>
      <w:r>
        <w:rPr>
          <w:rFonts w:ascii="Arial" w:cs="Arial" w:eastAsia="Arial" w:hAnsi="Arial"/>
          <w:b/>
          <w:bCs/>
          <w:color w:val="D4AF37"/>
          <w:sz w:val="22"/>
          <w:szCs w:val="22"/>
        </w:rPr>
        <w:t xml:space="preserve">Covert Administration</w:t>
      </w:r>
    </w:p>
    <w:p>
      <w:pPr>
        <w:spacing w:after="60" w:before="60"/>
      </w:pPr>
      <w:r>
        <w:rPr>
          <w:rFonts w:ascii="Arial" w:cs="Arial" w:eastAsia="Arial" w:hAnsi="Arial"/>
          <w:color w:val="333333"/>
          <w:sz w:val="21"/>
          <w:szCs w:val="21"/>
        </w:rPr>
        <w:t xml:space="preserve">Covert administration (administering medicine disguised in food or drink without the person’s knowledge) may only occur where the resident lacks capacity to consent to taking the medicine (confirmed by a capacity assessment under the MCA 2005), a best interests decision has been made involving the GP, pharmacist, and family/IMCA, the specific medicine has been assessed as suitable for covert administration by the pharmacist, and the arrangement is documented in the care plan and reviewed regularly.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MAR Chart Recording</w:t>
      </w:r>
    </w:p>
    <w:p>
      <w:pPr>
        <w:spacing w:after="60" w:before="60"/>
      </w:pPr>
      <w:r>
        <w:rPr>
          <w:rFonts w:ascii="Arial" w:cs="Arial" w:eastAsia="Arial" w:hAnsi="Arial"/>
          <w:color w:val="333333"/>
          <w:sz w:val="21"/>
          <w:szCs w:val="21"/>
        </w:rPr>
        <w:t xml:space="preserve">The MAR (Medication Administration Record) chart must be completed immediately after each administration. The staff member who administered must sign using their unique signature/initials (as recorded on the home’s signature log). Omission codes must be used where a medicine is not given, with the reason documented. MAR charts must be audited monthly by the Registered Manager or designated senior. Any errors or omissions must be investigated via the home’s incident management process.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Medication Errors &amp; Incidents</w:t>
      </w:r>
    </w:p>
    <w:p>
      <w:pPr>
        <w:spacing w:after="60" w:before="60"/>
      </w:pPr>
      <w:r>
        <w:rPr>
          <w:rFonts w:ascii="Arial" w:cs="Arial" w:eastAsia="Arial" w:hAnsi="Arial"/>
          <w:color w:val="333333"/>
          <w:sz w:val="21"/>
          <w:szCs w:val="21"/>
        </w:rPr>
        <w:t xml:space="preserve">All medication errors must be reported immediately to the senior staff member on duty and to the Registered Manager. Clinical assessment of the resident must be undertaken without delay; if the error poses a risk to health, the GP and/or NHS 111/999 must be contacted. A statutory notification must be submitted to CQC if the error results in, or has the potential to result in, harm to the resident. Root cause analysis must be completed for all errors. Trends must be monitored and discussed at clinical governance meetings.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Disposal</w:t>
      </w:r>
    </w:p>
    <w:p>
      <w:pPr>
        <w:spacing w:after="60" w:before="60"/>
      </w:pPr>
      <w:r>
        <w:rPr>
          <w:rFonts w:ascii="Arial" w:cs="Arial" w:eastAsia="Arial" w:hAnsi="Arial"/>
          <w:color w:val="333333"/>
          <w:sz w:val="21"/>
          <w:szCs w:val="21"/>
        </w:rPr>
        <w:t xml:space="preserve">Unwanted, expired, or discontinued medicines must be returned to the supplying pharmacy for safe disposal. Controlled Drugs must be destroyed (denatured) on-site by an authorised witness, or returned to the pharmacy, in accordance with the Controlled Drugs (Supervision of Management and Use) Regulations 2013. Records of disposal must be maintained, including drug name, quantity, resident name, date, and signatures of those involved.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Training &amp; Competency</w:t>
      </w:r>
    </w:p>
    <w:p>
      <w:pPr>
        <w:spacing w:after="60" w:before="60"/>
      </w:pPr>
      <w:r>
        <w:rPr>
          <w:rFonts w:ascii="Arial" w:cs="Arial" w:eastAsia="Arial" w:hAnsi="Arial"/>
          <w:color w:val="333333"/>
          <w:sz w:val="21"/>
          <w:szCs w:val="21"/>
        </w:rPr>
        <w:t xml:space="preserve">All staff involved in medication processes must complete accredited medication training before handling medicines unsupervised. Competency must be assessed at least annually using direct observation of practice. Additional training must be provided for specialist administration routes (e.g., PEG feeding, insulin, buccal midazolam, oxygen therapy). Training records must be maintained and available for CQC inspection.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Monitoring &amp; Review</w:t>
      </w:r>
    </w:p>
    <w:p>
      <w:pPr>
        <w:spacing w:after="60" w:before="60"/>
      </w:pPr>
      <w:r>
        <w:rPr>
          <w:rFonts w:ascii="Arial" w:cs="Arial" w:eastAsia="Arial" w:hAnsi="Arial"/>
          <w:color w:val="333333"/>
          <w:sz w:val="21"/>
          <w:szCs w:val="21"/>
        </w:rPr>
        <w:t xml:space="preserve">Monthly medication audits must be conducted by the Registered Manager or designated competent person. The supplying pharmacy must conduct an independent audit at least annually. This policy must be reviewed at least annually or following a significant medication incident, change in legislation, or CQC inspection recommendation.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12.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13.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BS-CHP-002</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2026-05-15T11:04:01.549Z</dcterms:created>
  <dcterms:modified xsi:type="dcterms:W3CDTF">2026-05-15T11:04:01.549Z</dcterms:modified>
</cp:coreProperties>
</file>

<file path=docProps/custom.xml><?xml version="1.0" encoding="utf-8"?>
<Properties xmlns="http://schemas.openxmlformats.org/officeDocument/2006/custom-properties" xmlns:vt="http://schemas.openxmlformats.org/officeDocument/2006/docPropsVTypes"/>
</file>