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B1D3A"/>
          <w:sz w:val="36"/>
          <w:szCs w:val="36"/>
        </w:rPr>
        <w:t xml:space="preserve">CARE HOME POLICY</w:t>
      </w:r>
    </w:p>
    <w:p>
      <w:pPr>
        <w:spacing w:after="60" w:before="0"/>
        <w:jc w:val="center"/>
      </w:pPr>
      <w:r>
        <w:rPr>
          <w:rFonts w:ascii="Arial" w:cs="Arial" w:eastAsia="Arial" w:hAnsi="Arial"/>
          <w:b/>
          <w:bCs/>
          <w:color w:val="D4AF37"/>
          <w:sz w:val="26"/>
          <w:szCs w:val="26"/>
        </w:rPr>
        <w:t xml:space="preserve">MENTAL CAPACITY &amp; DEPRIVATION OF LIBERTY SAFEGUARDS (DOLS) POLICY</w:t>
      </w:r>
    </w:p>
    <w:p>
      <w:pPr>
        <w:pBdr>
          <w:bottom w:val="single" w:color="D4AF37" w:sz="6" w:space="1"/>
        </w:pBdr>
        <w:spacing w:after="200" w:before="200"/>
      </w:pPr>
    </w:p>
    <w:p>
      <w:pPr>
        <w:spacing w:after="60" w:before="60"/>
      </w:pPr>
      <w:r>
        <w:rPr>
          <w:rFonts w:ascii="Arial" w:cs="Arial" w:eastAsia="Arial" w:hAnsi="Arial"/>
          <w:b/>
          <w:bCs/>
          <w:color w:val="0B1D3A"/>
          <w:sz w:val="21"/>
          <w:szCs w:val="21"/>
        </w:rPr>
        <w:t xml:space="preserve">Document Reference: </w:t>
      </w:r>
      <w:r>
        <w:rPr>
          <w:rFonts w:ascii="Arial" w:cs="Arial" w:eastAsia="Arial" w:hAnsi="Arial"/>
          <w:color w:val="333333"/>
          <w:sz w:val="21"/>
          <w:szCs w:val="21"/>
        </w:rPr>
        <w:t xml:space="preserve">BS-CHP-004</w:t>
      </w:r>
    </w:p>
    <w:p>
      <w:pPr>
        <w:spacing w:after="60" w:before="60"/>
      </w:pPr>
      <w:r>
        <w:rPr>
          <w:rFonts w:ascii="Arial" w:cs="Arial" w:eastAsia="Arial" w:hAnsi="Arial"/>
          <w:b/>
          <w:bCs/>
          <w:color w:val="0B1D3A"/>
          <w:sz w:val="21"/>
          <w:szCs w:val="21"/>
        </w:rPr>
        <w:t xml:space="preserve">Effective Date: </w:t>
      </w:r>
      <w:r>
        <w:rPr>
          <w:rFonts w:ascii="Arial" w:cs="Arial" w:eastAsia="Arial" w:hAnsi="Arial"/>
          <w:color w:val="333333"/>
          <w:sz w:val="21"/>
          <w:szCs w:val="21"/>
        </w:rPr>
        <w:t xml:space="preserve">[DD/MM/YYYY]</w:t>
      </w:r>
    </w:p>
    <w:p>
      <w:pPr>
        <w:spacing w:after="60" w:before="60"/>
      </w:pPr>
      <w:r>
        <w:rPr>
          <w:rFonts w:ascii="Arial" w:cs="Arial" w:eastAsia="Arial" w:hAnsi="Arial"/>
          <w:b/>
          <w:bCs/>
          <w:color w:val="0B1D3A"/>
          <w:sz w:val="21"/>
          <w:szCs w:val="21"/>
        </w:rPr>
        <w:t xml:space="preserve">Review Date: </w:t>
      </w:r>
      <w:r>
        <w:rPr>
          <w:rFonts w:ascii="Arial" w:cs="Arial" w:eastAsia="Arial" w:hAnsi="Arial"/>
          <w:color w:val="333333"/>
          <w:sz w:val="21"/>
          <w:szCs w:val="21"/>
        </w:rPr>
        <w:t xml:space="preserve">[DD/MM/YYYY] (or sooner if legislation/guidance changes)</w:t>
      </w:r>
    </w:p>
    <w:p>
      <w:pPr>
        <w:spacing w:after="60" w:before="60"/>
      </w:pPr>
      <w:r>
        <w:rPr>
          <w:rFonts w:ascii="Arial" w:cs="Arial" w:eastAsia="Arial" w:hAnsi="Arial"/>
          <w:b/>
          <w:bCs/>
          <w:color w:val="0B1D3A"/>
          <w:sz w:val="21"/>
          <w:szCs w:val="21"/>
        </w:rPr>
        <w:t xml:space="preserve">Author: </w:t>
      </w:r>
      <w:r>
        <w:rPr>
          <w:rFonts w:ascii="Arial" w:cs="Arial" w:eastAsia="Arial" w:hAnsi="Arial"/>
          <w:color w:val="333333"/>
          <w:sz w:val="21"/>
          <w:szCs w:val="21"/>
        </w:rPr>
        <w:t xml:space="preserve">[Insert Name]</w:t>
      </w:r>
    </w:p>
    <w:p>
      <w:pPr>
        <w:spacing w:after="60" w:before="60"/>
      </w:pPr>
      <w:r>
        <w:rPr>
          <w:rFonts w:ascii="Arial" w:cs="Arial" w:eastAsia="Arial" w:hAnsi="Arial"/>
          <w:b/>
          <w:bCs/>
          <w:color w:val="0B1D3A"/>
          <w:sz w:val="21"/>
          <w:szCs w:val="21"/>
        </w:rPr>
        <w:t xml:space="preserve">Approved By: </w:t>
      </w:r>
      <w:r>
        <w:rPr>
          <w:rFonts w:ascii="Arial" w:cs="Arial" w:eastAsia="Arial" w:hAnsi="Arial"/>
          <w:color w:val="333333"/>
          <w:sz w:val="21"/>
          <w:szCs w:val="21"/>
        </w:rPr>
        <w:t xml:space="preserve">[Insert Name], Registered Manager</w:t>
      </w:r>
    </w:p>
    <w:p>
      <w:pPr>
        <w:spacing w:after="60" w:before="60"/>
      </w:pPr>
      <w:r>
        <w:rPr>
          <w:rFonts w:ascii="Arial" w:cs="Arial" w:eastAsia="Arial" w:hAnsi="Arial"/>
          <w:b/>
          <w:bCs/>
          <w:color w:val="0B1D3A"/>
          <w:sz w:val="21"/>
          <w:szCs w:val="21"/>
        </w:rPr>
        <w:t xml:space="preserve">Home Name: </w:t>
      </w:r>
      <w:r>
        <w:rPr>
          <w:rFonts w:ascii="Arial" w:cs="Arial" w:eastAsia="Arial" w:hAnsi="Arial"/>
          <w:color w:val="333333"/>
          <w:sz w:val="21"/>
          <w:szCs w:val="21"/>
        </w:rPr>
        <w:t xml:space="preserve">[Insert Care Home Name]</w:t>
      </w:r>
    </w:p>
    <w:p>
      <w:pPr>
        <w:spacing w:after="60" w:before="60"/>
      </w:pPr>
      <w:r>
        <w:rPr>
          <w:rFonts w:ascii="Arial" w:cs="Arial" w:eastAsia="Arial" w:hAnsi="Arial"/>
          <w:b/>
          <w:bCs/>
          <w:color w:val="0B1D3A"/>
          <w:sz w:val="21"/>
          <w:szCs w:val="21"/>
        </w:rPr>
        <w:t xml:space="preserve">CQC Provider ID: </w:t>
      </w:r>
      <w:r>
        <w:rPr>
          <w:rFonts w:ascii="Arial" w:cs="Arial" w:eastAsia="Arial" w:hAnsi="Arial"/>
          <w:color w:val="333333"/>
          <w:sz w:val="21"/>
          <w:szCs w:val="21"/>
        </w:rPr>
        <w:t xml:space="preserve">[Insert Provider ID]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 Purpose</w:t>
      </w:r>
    </w:p>
    <w:p>
      <w:pPr>
        <w:spacing w:after="60" w:before="60"/>
      </w:pPr>
      <w:r>
        <w:rPr>
          <w:rFonts w:ascii="Arial" w:cs="Arial" w:eastAsia="Arial" w:hAnsi="Arial"/>
          <w:color w:val="333333"/>
          <w:sz w:val="21"/>
          <w:szCs w:val="21"/>
        </w:rPr>
        <w:t xml:space="preserve">This policy sets out the framework for assessing and supporting mental capacity, making best interests decisions, and applying for Deprivation of Liberty Safeguards (DoLS) authorisations at [Insert Care Home Name]. It ensures that the rights of residents who may lack capacity are protected in accordance with the Mental Capacity Act 2005.</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2. Scope</w:t>
      </w:r>
    </w:p>
    <w:p>
      <w:pPr>
        <w:spacing w:after="60" w:before="60"/>
      </w:pPr>
      <w:r>
        <w:rPr>
          <w:rFonts w:ascii="Arial" w:cs="Arial" w:eastAsia="Arial" w:hAnsi="Arial"/>
          <w:color w:val="333333"/>
          <w:sz w:val="21"/>
          <w:szCs w:val="21"/>
        </w:rPr>
        <w:t xml:space="preserve">This policy applies to all staff, including agency workers and volunteers. It covers all decisions made on behalf of residents who may lack the mental capacity to make those decisions for themselves, including care and treatment decisions, financial decisions, and decisions about where a person lives.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3. Legal &amp; Regulatory Framework</w:t>
      </w:r>
    </w:p>
    <w:p>
      <w:pPr>
        <w:spacing w:after="60" w:before="60"/>
      </w:pPr>
      <w:r>
        <w:rPr>
          <w:rFonts w:ascii="Arial" w:cs="Arial" w:eastAsia="Arial" w:hAnsi="Arial"/>
          <w:color w:val="333333"/>
          <w:sz w:val="21"/>
          <w:szCs w:val="21"/>
        </w:rPr>
        <w:t xml:space="preserve">Mental Capacity Act 2005 – Sections 1–6, 24–26 (Advance Decisions), Schedules A1 and 1A (DoLS); Mental Capacity Act 2005 Code of Practice (2007); Health and Social Care Act 2008 (Regulated Activities) Regulations 2014 – Regulation 11 (Need for Consent) and Regulation 13 (Safeguarding); Human Rights Act 1998 – Articles 5 (Right to Liberty) and 8 (Right to Private Life); Cheshire West and Chester Council v P [2014] UKSC 19 (the ‘acid test’ for deprivation of liberty); CQC Fundamental Standards; NICE Guideline NG108: Decision-Making and Mental Capacity (2018).</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4. The Five Statutory Principles</w:t>
      </w:r>
    </w:p>
    <w:p>
      <w:pPr>
        <w:spacing w:after="60" w:before="60"/>
      </w:pPr>
      <w:r>
        <w:rPr>
          <w:rFonts w:ascii="Arial" w:cs="Arial" w:eastAsia="Arial" w:hAnsi="Arial"/>
          <w:color w:val="333333"/>
          <w:sz w:val="21"/>
          <w:szCs w:val="21"/>
        </w:rPr>
        <w:t xml:space="preserve">Principle 1 – Presumption of Capacity: Every adult has the right to make their own decisions and must be assumed to have capacity unless it is established otherwise. Principle 2 – Support to Make Decisions: A person is not to be treated as unable to make a decision unless all practicable steps to help them have been taken without success. Principle 3 – Unwise Decisions: A person is not to be treated as lacking capacity merely because they make a decision that others consider unwise. Principle 4 – Best Interests: Anything done for or on behalf of a person who lacks capacity must be done in their best interests. Principle 5 – Least Restrictive Option: Any act done or decision made must be the least restrictive of the person’s rights and freedom of action.</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5. Assessing Capacity</w:t>
      </w:r>
    </w:p>
    <w:p>
      <w:pPr>
        <w:spacing w:after="60" w:before="60"/>
      </w:pPr>
      <w:r>
        <w:rPr>
          <w:rFonts w:ascii="Arial" w:cs="Arial" w:eastAsia="Arial" w:hAnsi="Arial"/>
          <w:color w:val="333333"/>
          <w:sz w:val="21"/>
          <w:szCs w:val="21"/>
        </w:rPr>
        <w:t xml:space="preserve">Mental capacity is decision-specific and time-specific. A person is unable to make a decision if they cannot understand the information relevant to the decision, retain the information long enough to make the decision, use or weigh the information as part of the process of making the decision, or communicate the decision (by any means). The assessment must be carried out by the person proposing to make the decision or carry out the act (the ‘decision-maker’). For complex or significant decisions, the assessment should involve the GP, specialist professionals, or a speech and language therapist. Assessments must be recorded using the home’s Mental Capacity Assessment form and filed in the resident’s care record.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6. Best Interests Decisions</w:t>
      </w:r>
    </w:p>
    <w:p>
      <w:pPr>
        <w:spacing w:after="60" w:before="60"/>
      </w:pPr>
      <w:r>
        <w:rPr>
          <w:rFonts w:ascii="Arial" w:cs="Arial" w:eastAsia="Arial" w:hAnsi="Arial"/>
          <w:color w:val="333333"/>
          <w:sz w:val="21"/>
          <w:szCs w:val="21"/>
        </w:rPr>
        <w:t xml:space="preserve">Where a person is assessed as lacking capacity for a specific decision, a best interests decision must be made. The decision-maker must consider all relevant circumstances, including the person’s past and present wishes, feelings, beliefs, and values. The following must be consulted (where practicable and appropriate): the person themselves, anyone named by the person as someone to be consulted, anyone engaged in caring for the person, any donee of a Lasting Power of Attorney, any deputy appointed by the Court of Protection, and an Independent Mental Capacity Advocate (IMCA) where the person has no one other than paid staff to consult. Best interests decisions must be recorded, including who was consulted, what was considered, and the rationale for the decision.</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7. Deprivation of Liberty Safeguards (DoLS)</w:t>
      </w:r>
    </w:p>
    <w:p>
      <w:pPr>
        <w:spacing w:after="60" w:before="60"/>
      </w:pPr>
      <w:r>
        <w:rPr>
          <w:rFonts w:ascii="Arial" w:cs="Arial" w:eastAsia="Arial" w:hAnsi="Arial"/>
          <w:color w:val="333333"/>
          <w:sz w:val="21"/>
          <w:szCs w:val="21"/>
        </w:rPr>
        <w:t xml:space="preserve">The home must identify any resident who may be deprived of their liberty, applying the ‘acid test’ from Cheshire West: the person is under continuous supervision and control, and the person is not free to leave. If the acid test is met and the person lacks capacity to consent to their care arrangements, the Managing Authority (the home) must submit an urgent and/or standard DoLS application to the Supervisory Body (the local authority). Applications must be made using the prescribed forms and within the prescribed timescales (urgent authorisation is valid for 7 days, extendable to 14). The home must maintain a DoLS tracker recording all applications, outcomes, expiry dates, and renewal actions. Where a DoLS authorisation is granted, any conditions attached must be implemented and monitored. The Relevant Person’s Representative (RPR) must be supported and the person must be informed of their right to challenge the authorisation via the Court of Protection.</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8. Advance Decisions &amp; Lasting Powers of Attorney</w:t>
      </w:r>
    </w:p>
    <w:p>
      <w:pPr>
        <w:spacing w:after="60" w:before="60"/>
      </w:pPr>
      <w:r>
        <w:rPr>
          <w:rFonts w:ascii="Arial" w:cs="Arial" w:eastAsia="Arial" w:hAnsi="Arial"/>
          <w:color w:val="333333"/>
          <w:sz w:val="21"/>
          <w:szCs w:val="21"/>
        </w:rPr>
        <w:t xml:space="preserve">The home must ascertain on admission whether the resident has made an Advance Decision to Refuse Treatment (ADRT) or has appointed a Lasting Power of Attorney (LPA) for Health and Welfare and/or Property and Financial Affairs. Copies must be obtained and placed in the care record. An ADRT that relates to life-sustaining treatment must be in writing, signed, witnessed, and include a clear statement that it applies even if life is at risk. LPAs must be registered with the Office of the Public Guardian (OPG) before they can be used. Staff must verify registration before accepting decisions made by an attorney.</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9. Restraint &amp; Restrictive Practices</w:t>
      </w:r>
    </w:p>
    <w:p>
      <w:pPr>
        <w:spacing w:after="60" w:before="60"/>
      </w:pPr>
      <w:r>
        <w:rPr>
          <w:rFonts w:ascii="Arial" w:cs="Arial" w:eastAsia="Arial" w:hAnsi="Arial"/>
          <w:color w:val="333333"/>
          <w:sz w:val="21"/>
          <w:szCs w:val="21"/>
        </w:rPr>
        <w:t xml:space="preserve">Physical restraint (including the use of bedrails, lap belts, door locks, medication used to control behaviour, or one-to-one supervision) may only be used where it is necessary to prevent harm to the person, proportionate to the risk, and the least restrictive option available. All restrictive practices must be recorded, risk-assessed, and subject to regular review. The home must work towards a culture of least restrictive practice in line with the Reducing Restrictive Practices agenda.</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10. Training</w:t>
      </w:r>
    </w:p>
    <w:p>
      <w:pPr>
        <w:spacing w:after="60" w:before="60"/>
      </w:pPr>
      <w:r>
        <w:rPr>
          <w:rFonts w:ascii="Arial" w:cs="Arial" w:eastAsia="Arial" w:hAnsi="Arial"/>
          <w:color w:val="333333"/>
          <w:sz w:val="21"/>
          <w:szCs w:val="21"/>
        </w:rPr>
        <w:t xml:space="preserve">All staff must complete MCA and DoLS awareness training at induction and annually. Staff conducting capacity assessments must receive enhanced training. The Registered Manager must be able to demonstrate competence in DoLS applications and best interests decision-making. Training records must be maintained.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11. Monitoring &amp; Review</w:t>
      </w:r>
    </w:p>
    <w:p>
      <w:pPr>
        <w:spacing w:after="60" w:before="60"/>
      </w:pPr>
      <w:r>
        <w:rPr>
          <w:rFonts w:ascii="Arial" w:cs="Arial" w:eastAsia="Arial" w:hAnsi="Arial"/>
          <w:color w:val="333333"/>
          <w:sz w:val="21"/>
          <w:szCs w:val="21"/>
        </w:rPr>
        <w:t xml:space="preserve">The DoLS tracker must be reviewed weekly by the Registered Manager. Capacity assessments and best interests records must be audited quarterly. This policy must be reviewed annually or following a significant incident, change in legislation (including the introduction of Liberty Protection Safeguards), or CQC inspection finding.</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12. Version Control</w:t>
      </w:r>
    </w:p>
    <w:p>
      <w:pPr>
        <w:spacing w:after="10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106"/>
        <w:gridCol w:w="3000"/>
      </w:tblGrid>
      <w:tr>
        <w:tc>
          <w:tcPr>
            <w:tcW w:type="dxa" w:w="1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0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30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[DD/MM/YYYY]</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[Insert Name]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Initial issue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r>
    </w:tbl>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13. Sign-Off &amp; Approval</w:t>
      </w:r>
    </w:p>
    <w:p>
      <w:pPr>
        <w:spacing w:after="60" w:before="60"/>
      </w:pPr>
      <w:r>
        <w:rPr>
          <w:rFonts w:ascii="Arial" w:cs="Arial" w:eastAsia="Arial" w:hAnsi="Arial"/>
          <w:color w:val="333333"/>
          <w:sz w:val="21"/>
          <w:szCs w:val="21"/>
        </w:rPr>
        <w:t xml:space="preserve">This policy has been reviewed and approved by the undersigned. It shall be reviewed at least annually, or following any significant incident, regulatory change, or CQC inspection finding.</w:t>
      </w:r>
    </w:p>
    <w:p>
      <w:pPr>
        <w:spacing w:after="10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7"/>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7"/>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Registered Manager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Responsible Individual / Proprietor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Clinical Lead / Nurse Manager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300"/>
      </w:pPr>
    </w:p>
    <w:p>
      <w:pPr>
        <w:jc w:val="center"/>
      </w:pPr>
      <w:r>
        <w:rPr>
          <w:rFonts w:ascii="Arial" w:cs="Arial" w:eastAsia="Arial" w:hAnsi="Arial"/>
          <w:i/>
          <w:iCs/>
          <w:color w:val="D4AF37"/>
          <w:sz w:val="16"/>
          <w:szCs w:val="16"/>
        </w:rPr>
        <w:t xml:space="preserve">Barker Scott – Care Home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506"/>
      </w:tabs>
      <w:spacing w:before="80"/>
    </w:pPr>
    <w:r>
      <w:rPr>
        <w:rFonts w:ascii="Arial" w:cs="Arial" w:eastAsia="Arial" w:hAnsi="Arial"/>
        <w:color w:val="0B1D3A"/>
        <w:sz w:val="16"/>
        <w:szCs w:val="16"/>
      </w:rPr>
      <w:t xml:space="preserve">BS-CHP-004</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rPr>
        <w:rFonts w:ascii="Arial" w:cs="Arial" w:eastAsia="Arial" w:hAnsi="Arial"/>
        <w:b/>
        <w:bCs/>
        <w:color w:val="0B1D3A"/>
        <w:sz w:val="24"/>
        <w:szCs w:val="24"/>
      </w:rPr>
      <w:t xml:space="preserve">BARKER SCOTT</w:t>
    </w:r>
    <w:r>
      <w:rPr>
        <w:rFonts w:ascii="Arial" w:cs="Arial" w:eastAsia="Arial" w:hAnsi="Arial"/>
        <w:color w:val="D4AF37"/>
        <w:sz w:val="18"/>
        <w:szCs w:val="18"/>
      </w:rPr>
      <w:t xml:space="preserve">  |  </w:t>
    </w:r>
    <w:r>
      <w:rPr>
        <w:rFonts w:ascii="Arial" w:cs="Arial" w:eastAsia="Arial" w:hAnsi="Arial"/>
        <w:i/>
        <w:iCs/>
        <w:color w:val="D4AF37"/>
        <w:sz w:val="18"/>
        <w:szCs w:val="18"/>
      </w:rPr>
      <w:t xml:space="preserve">Care Home Policy</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2026-05-15T11:04:01.671Z</dcterms:created>
  <dcterms:modified xsi:type="dcterms:W3CDTF">2026-05-15T11:04:01.671Z</dcterms:modified>
</cp:coreProperties>
</file>

<file path=docProps/custom.xml><?xml version="1.0" encoding="utf-8"?>
<Properties xmlns="http://schemas.openxmlformats.org/officeDocument/2006/custom-properties" xmlns:vt="http://schemas.openxmlformats.org/officeDocument/2006/docPropsVTypes"/>
</file>