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MOVING &amp; HANDLING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BS-CHP-008</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arrangements for the safe moving and handling of residents, objects, and equipment within [Insert Care Home Name]. It aims to reduce the risk of musculoskeletal injury to staff and residents, ensure compliance with statutory requirements, and promote residents’ independence and dignity during all transfers and repositioning.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staff, agency workers, and volunteers who may be required to carry out moving and handling tasks. It covers the manual handling of residents (hoisting, sliding, repositioning, walking assistance, bed mobility) and the manual handling of loads (equipment, supplies, laundry, waste).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Health and Safety at Work etc. Act 1974 – Sections 2 &amp; 3; Manual Handling Operations Regulations 1992 (SI 1992/2793, as amended 2002); The Management of Health and Safety at Work Regulations 1999 (SI 1999/3242); The Provision and Use of Work Equipment Regulations 1998 (PUWER) (SI 1998/2306); The Lifting Operations and Lifting Equipment Regulations 1998 (LOLER) (SI 1998/2307); Health and Social Care Act 2008 (Regulated Activities) Regulations 2014 – Regulation 12 and Regulation 15; Reporting of Injuries, Diseases and Dangerous Occurrences Regulations 2013 (RIDDOR); HSE Guidance INDG143: Manual Handling at Work (2020); Human Rights Act 1998 – Article 8 (dignity during handling).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Risk Assessment</w:t>
      </w:r>
    </w:p>
    <w:p>
      <w:pPr>
        <w:spacing w:after="60" w:before="60"/>
      </w:pPr>
      <w:r>
        <w:rPr>
          <w:rFonts w:ascii="Arial" w:cs="Arial" w:eastAsia="Arial" w:hAnsi="Arial"/>
          <w:color w:val="333333"/>
          <w:sz w:val="21"/>
          <w:szCs w:val="21"/>
        </w:rPr>
        <w:t xml:space="preserve">A generic moving and handling risk assessment must be in place for the home, covering common tasks. In addition, every resident must have an individual moving and handling risk assessment completed within 24 hours of admission, using the TILE framework: Task (what is being done), Individual (capabilities of the handler and the resident), Load (the resident or object), and Environment (space, flooring, lighting, obstacles). The assessment must specify the equipment required (hoist type and sling size, slide sheets, transfer boards, standing aids, wheelchair), the number of staff required, and the technique to be used. Assessments must be reviewed monthly, after a fall, after any change in the resident’s condition, or if a handler reports difficulty.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Equipment</w:t>
      </w:r>
    </w:p>
    <w:p>
      <w:pPr>
        <w:spacing w:after="60" w:before="60"/>
      </w:pPr>
      <w:r>
        <w:rPr>
          <w:rFonts w:ascii="Arial" w:cs="Arial" w:eastAsia="Arial" w:hAnsi="Arial"/>
          <w:color w:val="333333"/>
          <w:sz w:val="21"/>
          <w:szCs w:val="21"/>
        </w:rPr>
        <w:t xml:space="preserve">All moving and handling equipment must be maintained in accordance with LOLER and PUWER. Hoists and slings must be inspected by a competent person at 6-monthly intervals (LOLER Regulation 9). Slings must be individually allocated to each resident where possible and must be the correct size and type for the transfer. Faulty equipment must be taken out of service immediately, labelled as defective, and reported to the maintenance team. An equipment register must be maintained recording all inspections, services, and defects.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Safe Handling Principles</w:t>
      </w:r>
    </w:p>
    <w:p>
      <w:pPr>
        <w:spacing w:after="60" w:before="60"/>
      </w:pPr>
      <w:r>
        <w:rPr>
          <w:rFonts w:ascii="Arial" w:cs="Arial" w:eastAsia="Arial" w:hAnsi="Arial"/>
          <w:color w:val="333333"/>
          <w:sz w:val="21"/>
          <w:szCs w:val="21"/>
        </w:rPr>
        <w:t xml:space="preserve">Manual lifting of residents is not permitted except in life-threatening situations. All transfers must use appropriate equipment and technique as specified in the resident’s handling plan. Staff must plan the move before commencing. Adequate space must be cleared. The brakes must be applied on all wheeled equipment. The resident must be involved and communicated with throughout the transfer. A consistent command system must be used (e.g., ‘Ready, Steady, Slide’). If at any point the move becomes unsafe, staff must stop and reassess. Drag lifting (lifting under the arms/axillae) is strictly prohibited.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Resident Dignity &amp; Independence</w:t>
      </w:r>
    </w:p>
    <w:p>
      <w:pPr>
        <w:spacing w:after="60" w:before="60"/>
      </w:pPr>
      <w:r>
        <w:rPr>
          <w:rFonts w:ascii="Arial" w:cs="Arial" w:eastAsia="Arial" w:hAnsi="Arial"/>
          <w:color w:val="333333"/>
          <w:sz w:val="21"/>
          <w:szCs w:val="21"/>
        </w:rPr>
        <w:t xml:space="preserve">Moving and handling must be conducted in a way that preserves the resident’s dignity, privacy, and independence. Residents must be encouraged to assist with transfers to the maximum extent of their ability. The resident’s preferences for handling must be documented and respected. Doors and curtains must be closed during transfers. Communication must be clear, calm, and respectful throughout.</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Reporting Incidents</w:t>
      </w:r>
    </w:p>
    <w:p>
      <w:pPr>
        <w:spacing w:after="60" w:before="60"/>
      </w:pPr>
      <w:r>
        <w:rPr>
          <w:rFonts w:ascii="Arial" w:cs="Arial" w:eastAsia="Arial" w:hAnsi="Arial"/>
          <w:color w:val="333333"/>
          <w:sz w:val="21"/>
          <w:szCs w:val="21"/>
        </w:rPr>
        <w:t xml:space="preserve">All moving and handling incidents, including near misses, must be reported on the home’s incident reporting system. Injuries to staff must be recorded in the accident book and reported to the Registered Manager. Injuries meeting the RIDDOR criteria must be reported to the HSE. Root cause analysis must be conducted for all incidents resulting in injury.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Training</w:t>
      </w:r>
    </w:p>
    <w:p>
      <w:pPr>
        <w:spacing w:after="60" w:before="60"/>
      </w:pPr>
      <w:r>
        <w:rPr>
          <w:rFonts w:ascii="Arial" w:cs="Arial" w:eastAsia="Arial" w:hAnsi="Arial"/>
          <w:color w:val="333333"/>
          <w:sz w:val="21"/>
          <w:szCs w:val="21"/>
        </w:rPr>
        <w:t xml:space="preserve">All staff must complete theoretical and practical moving and handling training at induction, before carrying out any moving and handling tasks unsupervised. Refresher training must be completed at least annually. Training must be delivered by a qualified moving and handling trainer and must cover: legislation and responsibilities, risk assessment, principles of biomechanics, use of all equipment available in the home, emergency evacuation techniques, and practical scenarios relevant to the home. Training records must be maintained and include competency assessment outcomes.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Monitoring &amp; Review</w:t>
      </w:r>
    </w:p>
    <w:p>
      <w:pPr>
        <w:spacing w:after="60" w:before="60"/>
      </w:pPr>
      <w:r>
        <w:rPr>
          <w:rFonts w:ascii="Arial" w:cs="Arial" w:eastAsia="Arial" w:hAnsi="Arial"/>
          <w:color w:val="333333"/>
          <w:sz w:val="21"/>
          <w:szCs w:val="21"/>
        </w:rPr>
        <w:t xml:space="preserve">Moving and handling risk assessments must be audited quarterly. Equipment inspection records must be checked monthly. Incident data must be analysed for trends and discussed at health and safety meetings. This policy must be reviewed annually or following a serious moving and handling incident, RIDDOR report, change in legislation, or CQC inspection finding.</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BS-CHP-008</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2026-05-15T11:04:01.800Z</dcterms:created>
  <dcterms:modified xsi:type="dcterms:W3CDTF">2026-05-15T11:04:01.800Z</dcterms:modified>
</cp:coreProperties>
</file>

<file path=docProps/custom.xml><?xml version="1.0" encoding="utf-8"?>
<Properties xmlns="http://schemas.openxmlformats.org/officeDocument/2006/custom-properties" xmlns:vt="http://schemas.openxmlformats.org/officeDocument/2006/docPropsVTypes"/>
</file>