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RECRUITMENT &amp; STAFF SUITABILITY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BS-CHP-009</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the recruitment and selection procedures for [Insert Care Home Name], ensuring that all staff employed are suitable to work with vulnerable adults, possess the required skills and qualifications, and meet the regulatory requirements of CQC Schedule 3. The home is committed to safer recruitment practices that protect residents from harm.</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the recruitment of all employees, including permanent, temporary, and bank staff, as well as the engagement of agency workers and volunteers. It covers pre-employment checks, interview processes, induction, probation, and ongoing monitoring of staff suitability.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Health and Social Care Act 2008 (Regulated Activities) Regulations 2014 – Regulation 19 (Fit and Proper Persons Employed) and Schedule 3; The Rehabilitation of Offenders Act 1974 (Exceptions) Order 1975 (as amended); Police Act 1997 – Part V (Criminal Records); Safeguarding Vulnerable Groups Act 2006; The Immigration, Asylum and Nationality Act 2006 – Section 15 (Right to Work); Equality Act 2010 – Part 5 (Work); Employment Rights Act 1996; CQC Guidance: Regulation 19 – Fit and Proper Persons Employed; Disclosure and Barring Service (DBS) Eligibility Guidance.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Pre-Employment Checks (Schedule 3)</w:t>
      </w:r>
    </w:p>
    <w:p>
      <w:pPr>
        <w:spacing w:after="60" w:before="60"/>
      </w:pPr>
      <w:r>
        <w:rPr>
          <w:rFonts w:ascii="Arial" w:cs="Arial" w:eastAsia="Arial" w:hAnsi="Arial"/>
          <w:color w:val="333333"/>
          <w:sz w:val="21"/>
          <w:szCs w:val="21"/>
        </w:rPr>
        <w:t xml:space="preserve">Before any person begins work at the home, the following checks must be satisfactorily completed and evidenced: (a) Proof of identity (photographic ID and proof of address); (b) Enhanced DBS check with Adults’ Barred List check – must be applied for before the person starts and a risk assessment conducted if the certificate has not been received (the person must not work unsupervised until the DBS is clear); (c) Right to Work in the UK – original documents checked, copied, and dated in accordance with Home Office guidance; (d) Two references covering the last 5 years of employment, one of which must be the most recent employer – references must be obtained directly from the referee (not via the candidate), verified by telephone if concerns arise, and must specifically ask whether the referee is aware of any safeguarding concerns; (e) Evidence of relevant qualifications (verified against original certificates); (f) Full employment history with satisfactory explanation of any gaps; (g) Health declaration confirming fitness for the role (Equality Act 2010 restrictions apply – health questions may only be asked after a conditional offer); (h) Professional registration check where applicable (NMC PIN for nurses). All checks must be recorded on a Single Central Record (SCR) maintained by the home.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Interview &amp; Selection</w:t>
      </w:r>
    </w:p>
    <w:p>
      <w:pPr>
        <w:spacing w:after="60" w:before="60"/>
      </w:pPr>
      <w:r>
        <w:rPr>
          <w:rFonts w:ascii="Arial" w:cs="Arial" w:eastAsia="Arial" w:hAnsi="Arial"/>
          <w:color w:val="333333"/>
          <w:sz w:val="21"/>
          <w:szCs w:val="21"/>
        </w:rPr>
        <w:t xml:space="preserve">All interviews must be conducted by at least two people, one of whom must be trained in safer recruitment. Values-based interview questions must be used alongside competency-based questions. All candidates for care roles must be assessed against the home’s values and the CQC’s key question domains (Safe, Effective, Caring, Responsive, Well-Led). Any concerns identified during interview must be recorded and considered in the selection decision. The interview panel must not make an unconditional offer before all Schedule 3 checks are completed.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DBS &amp; Barred List Checks</w:t>
      </w:r>
    </w:p>
    <w:p>
      <w:pPr>
        <w:spacing w:after="60" w:before="60"/>
      </w:pPr>
      <w:r>
        <w:rPr>
          <w:rFonts w:ascii="Arial" w:cs="Arial" w:eastAsia="Arial" w:hAnsi="Arial"/>
          <w:color w:val="333333"/>
          <w:sz w:val="21"/>
          <w:szCs w:val="21"/>
        </w:rPr>
        <w:t xml:space="preserve">The home will apply for an Enhanced DBS check with Adults’ Barred List check for all staff in regulated activity. It is a criminal offence to knowingly employ a barred person in regulated activity (Safeguarding Vulnerable Groups Act 2006, Section 7). The home subscribes to the DBS Update Service where possible to enable portability checks. DBS certificates must be reviewed at recruitment; the home will re-check DBS status at least every 3 years. Staff must inform the Registered Manager immediately if they are cautioned, charged, or convicted of any offence.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Agency Staff</w:t>
      </w:r>
    </w:p>
    <w:p>
      <w:pPr>
        <w:spacing w:after="60" w:before="60"/>
      </w:pPr>
      <w:r>
        <w:rPr>
          <w:rFonts w:ascii="Arial" w:cs="Arial" w:eastAsia="Arial" w:hAnsi="Arial"/>
          <w:color w:val="333333"/>
          <w:sz w:val="21"/>
          <w:szCs w:val="21"/>
        </w:rPr>
        <w:t xml:space="preserve">The home must obtain written confirmation from the agency that all Schedule 3 checks (including Enhanced DBS with Barred List) have been completed before the agency worker commences duty. The home must verify the worker’s identity against the agency’s confirmation on their first shift. Agency staff must receive a site-specific induction covering safeguarding, fire, and emergency procedures. A record of agency staff used (including name, agency, DBS reference, and dates worked) must be maintained.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Induction &amp; Probation</w:t>
      </w:r>
    </w:p>
    <w:p>
      <w:pPr>
        <w:spacing w:after="60" w:before="60"/>
      </w:pPr>
      <w:r>
        <w:rPr>
          <w:rFonts w:ascii="Arial" w:cs="Arial" w:eastAsia="Arial" w:hAnsi="Arial"/>
          <w:color w:val="333333"/>
          <w:sz w:val="21"/>
          <w:szCs w:val="21"/>
        </w:rPr>
        <w:t xml:space="preserve">All new staff must complete a structured induction programme aligned to the Care Certificate (Skills for Care, 2015) within the first 12 weeks of employment. The induction must cover the 15 standards of the Care Certificate, the home’s policies and procedures, safeguarding, fire safety, moving and handling, IPC, MCA and DoLS, and medication awareness. New staff must be supervised and assessed throughout their probationary period (typically 6 months). Probationary reviews must be documented at months 1, 3, and 6.</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Ongoing Monitoring</w:t>
      </w:r>
    </w:p>
    <w:p>
      <w:pPr>
        <w:spacing w:after="60" w:before="60"/>
      </w:pPr>
      <w:r>
        <w:rPr>
          <w:rFonts w:ascii="Arial" w:cs="Arial" w:eastAsia="Arial" w:hAnsi="Arial"/>
          <w:color w:val="333333"/>
          <w:sz w:val="21"/>
          <w:szCs w:val="21"/>
        </w:rPr>
        <w:t xml:space="preserve">Staff suitability must be monitored on an ongoing basis through: supervision (at least every 6–8 weeks for care staff); annual appraisal; competency assessments; training compliance monitoring; professional registration renewal checks; re-checking DBS at intervals; exit interviews to capture any safeguarding intelligence.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Monitoring &amp; Review</w:t>
      </w:r>
    </w:p>
    <w:p>
      <w:pPr>
        <w:spacing w:after="60" w:before="60"/>
      </w:pPr>
      <w:r>
        <w:rPr>
          <w:rFonts w:ascii="Arial" w:cs="Arial" w:eastAsia="Arial" w:hAnsi="Arial"/>
          <w:color w:val="333333"/>
          <w:sz w:val="21"/>
          <w:szCs w:val="21"/>
        </w:rPr>
        <w:t xml:space="preserve">The Single Central Record must be audited quarterly by the Registered Manager. Recruitment processes must be reviewed annually. This policy must be reviewed annually or following a recruitment-related safeguarding concern, DBS policy change, CQC inspection finding, or change in legislation.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BS-CHP-009</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2026-05-15T11:04:01.828Z</dcterms:created>
  <dcterms:modified xsi:type="dcterms:W3CDTF">2026-05-15T11:04:01.828Z</dcterms:modified>
</cp:coreProperties>
</file>

<file path=docProps/custom.xml><?xml version="1.0" encoding="utf-8"?>
<Properties xmlns="http://schemas.openxmlformats.org/officeDocument/2006/custom-properties" xmlns:vt="http://schemas.openxmlformats.org/officeDocument/2006/docPropsVTypes"/>
</file>