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SAFEGUARDING ADULTS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BS-CHP-001</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[Insert Care Home Name]’s commitment to safeguarding adults at risk from abuse and neglect. It defines the responsibilities of all staff, the procedures for recognising, reporting and responding to safeguarding concerns, and the framework for working with the local authority and other agencies to protect residents.</w:t>
      </w:r>
    </w:p>
    <w:p>
      <w:pPr>
        <w:spacing w:after="60" w:before="60"/>
      </w:pPr>
      <w:r>
        <w:rPr>
          <w:rFonts w:ascii="Arial" w:cs="Arial" w:eastAsia="Arial" w:hAnsi="Arial"/>
          <w:color w:val="333333"/>
          <w:sz w:val="21"/>
          <w:szCs w:val="21"/>
        </w:rPr>
        <w:t xml:space="preserve">The home recognises that every adult has the right to live free from abuse, neglect and exploitation, and that safeguarding is everyone’s responsibility.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employees, agency workers, volunteers, contractors, and visitors to the home. It covers all forms of abuse as defined in the Care Act 2014 including physical, emotional/psychological, sexual, financial/material, neglect and acts of omission, discriminatory, organisational/institutional, domestic abuse, modern slavery, and self-neglect.</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Care Act 2014 – Sections 42–46 (Safeguarding Adults); The Health and Social Care Act 2008 (Regulated Activities) Regulations 2014 – Regulation 13 (Safeguarding service users from abuse and improper treatment); Mental Capacity Act 2005 – Sections 1–6 and Deprivation of Liberty Safeguards (DoLS); Human Rights Act 1998 – Articles 2, 3, 5 &amp; 8; The Equality Act 2010 – Section 149 (Public Sector Equality Duty); Serious Crime Act 2015 – Section 76 (Coercive control); Modern Slavery Act 2015; Domestic Abuse Act 2021; CQC Fundamental Standards – Regulation 13; Local Safeguarding Adults Board (SAB) multi-agency procedures.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Definitions of Abuse</w:t>
      </w:r>
    </w:p>
    <w:p>
      <w:pPr>
        <w:spacing w:after="80" w:before="200"/>
      </w:pPr>
      <w:r>
        <w:rPr>
          <w:rFonts w:ascii="Arial" w:cs="Arial" w:eastAsia="Arial" w:hAnsi="Arial"/>
          <w:b/>
          <w:bCs/>
          <w:color w:val="D4AF37"/>
          <w:sz w:val="22"/>
          <w:szCs w:val="22"/>
        </w:rPr>
        <w:t xml:space="preserve">Physical Abuse</w:t>
      </w:r>
    </w:p>
    <w:p>
      <w:pPr>
        <w:spacing w:after="60" w:before="60"/>
      </w:pPr>
      <w:r>
        <w:rPr>
          <w:rFonts w:ascii="Arial" w:cs="Arial" w:eastAsia="Arial" w:hAnsi="Arial"/>
          <w:color w:val="333333"/>
          <w:sz w:val="21"/>
          <w:szCs w:val="21"/>
        </w:rPr>
        <w:t xml:space="preserve">Hitting, slapping, pushing, kicking, misuse of medication, restraint, or inappropriate physical sanctions. Indicators may include unexplained injuries, bruising in unusual locations, flinching, or reluctance to be touched.</w:t>
      </w:r>
    </w:p>
    <w:p>
      <w:pPr>
        <w:spacing w:after="80" w:before="200"/>
      </w:pPr>
      <w:r>
        <w:rPr>
          <w:rFonts w:ascii="Arial" w:cs="Arial" w:eastAsia="Arial" w:hAnsi="Arial"/>
          <w:b/>
          <w:bCs/>
          <w:color w:val="D4AF37"/>
          <w:sz w:val="22"/>
          <w:szCs w:val="22"/>
        </w:rPr>
        <w:t xml:space="preserve">Emotional / Psychological Abuse</w:t>
      </w:r>
    </w:p>
    <w:p>
      <w:pPr>
        <w:spacing w:after="60" w:before="60"/>
      </w:pPr>
      <w:r>
        <w:rPr>
          <w:rFonts w:ascii="Arial" w:cs="Arial" w:eastAsia="Arial" w:hAnsi="Arial"/>
          <w:color w:val="333333"/>
          <w:sz w:val="21"/>
          <w:szCs w:val="21"/>
        </w:rPr>
        <w:t xml:space="preserve">Threats, humiliation, intimidation, coercion, verbal abuse, isolation, or withdrawal from services or support. Indicators include withdrawal, fearfulness, changes in behaviour, or low self-esteem.</w:t>
      </w:r>
    </w:p>
    <w:p>
      <w:pPr>
        <w:spacing w:after="80" w:before="200"/>
      </w:pPr>
      <w:r>
        <w:rPr>
          <w:rFonts w:ascii="Arial" w:cs="Arial" w:eastAsia="Arial" w:hAnsi="Arial"/>
          <w:b/>
          <w:bCs/>
          <w:color w:val="D4AF37"/>
          <w:sz w:val="22"/>
          <w:szCs w:val="22"/>
        </w:rPr>
        <w:t xml:space="preserve">Sexual Abuse</w:t>
      </w:r>
    </w:p>
    <w:p>
      <w:pPr>
        <w:spacing w:after="60" w:before="60"/>
      </w:pPr>
      <w:r>
        <w:rPr>
          <w:rFonts w:ascii="Arial" w:cs="Arial" w:eastAsia="Arial" w:hAnsi="Arial"/>
          <w:color w:val="333333"/>
          <w:sz w:val="21"/>
          <w:szCs w:val="21"/>
        </w:rPr>
        <w:t xml:space="preserve">Any sexual activity that the person has not consented to or could not consent to. This includes sexual assault, rape, indecent exposure, sexual harassment, and inappropriate looking or touching.</w:t>
      </w:r>
    </w:p>
    <w:p>
      <w:pPr>
        <w:spacing w:after="80" w:before="200"/>
      </w:pPr>
      <w:r>
        <w:rPr>
          <w:rFonts w:ascii="Arial" w:cs="Arial" w:eastAsia="Arial" w:hAnsi="Arial"/>
          <w:b/>
          <w:bCs/>
          <w:color w:val="D4AF37"/>
          <w:sz w:val="22"/>
          <w:szCs w:val="22"/>
        </w:rPr>
        <w:t xml:space="preserve">Financial / Material Abuse</w:t>
      </w:r>
    </w:p>
    <w:p>
      <w:pPr>
        <w:spacing w:after="60" w:before="60"/>
      </w:pPr>
      <w:r>
        <w:rPr>
          <w:rFonts w:ascii="Arial" w:cs="Arial" w:eastAsia="Arial" w:hAnsi="Arial"/>
          <w:color w:val="333333"/>
          <w:sz w:val="21"/>
          <w:szCs w:val="21"/>
        </w:rPr>
        <w:t xml:space="preserve">Theft, fraud, exploitation, undue pressure in connection with wills, property or inheritance, misuse or misappropriation of property, possessions or benefits.</w:t>
      </w:r>
    </w:p>
    <w:p>
      <w:pPr>
        <w:spacing w:after="80" w:before="200"/>
      </w:pPr>
      <w:r>
        <w:rPr>
          <w:rFonts w:ascii="Arial" w:cs="Arial" w:eastAsia="Arial" w:hAnsi="Arial"/>
          <w:b/>
          <w:bCs/>
          <w:color w:val="D4AF37"/>
          <w:sz w:val="22"/>
          <w:szCs w:val="22"/>
        </w:rPr>
        <w:t xml:space="preserve">Neglect &amp; Acts of Omission</w:t>
      </w:r>
    </w:p>
    <w:p>
      <w:pPr>
        <w:spacing w:after="60" w:before="60"/>
      </w:pPr>
      <w:r>
        <w:rPr>
          <w:rFonts w:ascii="Arial" w:cs="Arial" w:eastAsia="Arial" w:hAnsi="Arial"/>
          <w:color w:val="333333"/>
          <w:sz w:val="21"/>
          <w:szCs w:val="21"/>
        </w:rPr>
        <w:t xml:space="preserve">Failure to provide access to appropriate health, social care, or educational services; withholding necessities of life such as food, drink, heating; failure to provide medication or adequate nutrition.</w:t>
      </w:r>
    </w:p>
    <w:p>
      <w:pPr>
        <w:spacing w:after="80" w:before="200"/>
      </w:pPr>
      <w:r>
        <w:rPr>
          <w:rFonts w:ascii="Arial" w:cs="Arial" w:eastAsia="Arial" w:hAnsi="Arial"/>
          <w:b/>
          <w:bCs/>
          <w:color w:val="D4AF37"/>
          <w:sz w:val="22"/>
          <w:szCs w:val="22"/>
        </w:rPr>
        <w:t xml:space="preserve">Organisational / Institutional Abuse</w:t>
      </w:r>
    </w:p>
    <w:p>
      <w:pPr>
        <w:spacing w:after="60" w:before="60"/>
      </w:pPr>
      <w:r>
        <w:rPr>
          <w:rFonts w:ascii="Arial" w:cs="Arial" w:eastAsia="Arial" w:hAnsi="Arial"/>
          <w:color w:val="333333"/>
          <w:sz w:val="21"/>
          <w:szCs w:val="21"/>
        </w:rPr>
        <w:t xml:space="preserve">Neglect or poor care practice within the home, including inflexible routines, lack of choice, inadequate staffing, or a culture that prioritises the needs of the organisation over those of residents.</w:t>
      </w:r>
    </w:p>
    <w:p>
      <w:pPr>
        <w:spacing w:after="80" w:before="200"/>
      </w:pPr>
      <w:r>
        <w:rPr>
          <w:rFonts w:ascii="Arial" w:cs="Arial" w:eastAsia="Arial" w:hAnsi="Arial"/>
          <w:b/>
          <w:bCs/>
          <w:color w:val="D4AF37"/>
          <w:sz w:val="22"/>
          <w:szCs w:val="22"/>
        </w:rPr>
        <w:t xml:space="preserve">Self-Neglect</w:t>
      </w:r>
    </w:p>
    <w:p>
      <w:pPr>
        <w:spacing w:after="60" w:before="60"/>
      </w:pPr>
      <w:r>
        <w:rPr>
          <w:rFonts w:ascii="Arial" w:cs="Arial" w:eastAsia="Arial" w:hAnsi="Arial"/>
          <w:color w:val="333333"/>
          <w:sz w:val="21"/>
          <w:szCs w:val="21"/>
        </w:rPr>
        <w:t xml:space="preserve">A wide range of behaviour including neglecting personal hygiene, health or surroundings, and includes hoarding. Self-neglect may indicate underlying mental health or capacity issues.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Roles &amp; Responsibilities</w:t>
      </w:r>
    </w:p>
    <w:p>
      <w:pPr>
        <w:spacing w:after="80" w:before="200"/>
      </w:pPr>
      <w:r>
        <w:rPr>
          <w:rFonts w:ascii="Arial" w:cs="Arial" w:eastAsia="Arial" w:hAnsi="Arial"/>
          <w:b/>
          <w:bCs/>
          <w:color w:val="D4AF37"/>
          <w:sz w:val="22"/>
          <w:szCs w:val="22"/>
        </w:rPr>
        <w:t xml:space="preserve">Registered Manager</w:t>
      </w:r>
    </w:p>
    <w:p>
      <w:pPr>
        <w:spacing w:after="60" w:before="60"/>
      </w:pPr>
      <w:r>
        <w:rPr>
          <w:rFonts w:ascii="Arial" w:cs="Arial" w:eastAsia="Arial" w:hAnsi="Arial"/>
          <w:color w:val="333333"/>
          <w:sz w:val="21"/>
          <w:szCs w:val="21"/>
        </w:rPr>
        <w:t xml:space="preserve">Acts as the Safeguarding Lead for the home. Ensures all staff receive safeguarding training at induction and annually thereafter. Makes or oversees safeguarding referrals to the local authority. Cooperates with Section 42 enquiries. Notifies CQC of all safeguarding incidents via the statutory notification process. Ensures a culture of openness and the Duty of Candour is met (Regulation 20).</w:t>
      </w:r>
    </w:p>
    <w:p>
      <w:pPr>
        <w:spacing w:after="80" w:before="200"/>
      </w:pPr>
      <w:r>
        <w:rPr>
          <w:rFonts w:ascii="Arial" w:cs="Arial" w:eastAsia="Arial" w:hAnsi="Arial"/>
          <w:b/>
          <w:bCs/>
          <w:color w:val="D4AF37"/>
          <w:sz w:val="22"/>
          <w:szCs w:val="22"/>
        </w:rPr>
        <w:t xml:space="preserve">All Staff</w:t>
      </w:r>
    </w:p>
    <w:p>
      <w:pPr>
        <w:spacing w:after="60" w:before="60"/>
      </w:pPr>
      <w:r>
        <w:rPr>
          <w:rFonts w:ascii="Arial" w:cs="Arial" w:eastAsia="Arial" w:hAnsi="Arial"/>
          <w:color w:val="333333"/>
          <w:sz w:val="21"/>
          <w:szCs w:val="21"/>
        </w:rPr>
        <w:t xml:space="preserve">Must be vigilant to signs of abuse or neglect. Must report any concerns immediately to the Registered Manager or Safeguarding Lead. Must not investigate allegations themselves. Must cooperate with any safeguarding investigation. Must complete mandatory safeguarding training. Must be aware of the home’s whistleblowing procedure.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Reporting Procedure</w:t>
      </w:r>
    </w:p>
    <w:p>
      <w:pPr>
        <w:spacing w:after="60" w:before="60"/>
      </w:pPr>
      <w:r>
        <w:rPr>
          <w:rFonts w:ascii="Arial" w:cs="Arial" w:eastAsia="Arial" w:hAnsi="Arial"/>
          <w:color w:val="333333"/>
          <w:sz w:val="21"/>
          <w:szCs w:val="21"/>
        </w:rPr>
        <w:t xml:space="preserve">Step 1: Ensure the immediate safety of the person at risk. If there is an immediate risk to life, call 999.</w:t>
      </w:r>
    </w:p>
    <w:p>
      <w:pPr>
        <w:spacing w:after="60" w:before="60"/>
      </w:pPr>
      <w:r>
        <w:rPr>
          <w:rFonts w:ascii="Arial" w:cs="Arial" w:eastAsia="Arial" w:hAnsi="Arial"/>
          <w:color w:val="333333"/>
          <w:sz w:val="21"/>
          <w:szCs w:val="21"/>
        </w:rPr>
        <w:t xml:space="preserve">Step 2: Report the concern without delay to the Registered Manager / Safeguarding Lead. If the allegation involves the Registered Manager, report to the Responsible Individual or directly to the local authority.</w:t>
      </w:r>
    </w:p>
    <w:p>
      <w:pPr>
        <w:spacing w:after="60" w:before="60"/>
      </w:pPr>
      <w:r>
        <w:rPr>
          <w:rFonts w:ascii="Arial" w:cs="Arial" w:eastAsia="Arial" w:hAnsi="Arial"/>
          <w:color w:val="333333"/>
          <w:sz w:val="21"/>
          <w:szCs w:val="21"/>
        </w:rPr>
        <w:t xml:space="preserve">Step 3: The Safeguarding Lead will make a referral to the Local Authority Safeguarding Adults Team within the same working day. The telephone number and email for the local SAT must be displayed in the staff room and office: [Insert Local Authority Contact Details].</w:t>
      </w:r>
    </w:p>
    <w:p>
      <w:pPr>
        <w:spacing w:after="60" w:before="60"/>
      </w:pPr>
      <w:r>
        <w:rPr>
          <w:rFonts w:ascii="Arial" w:cs="Arial" w:eastAsia="Arial" w:hAnsi="Arial"/>
          <w:color w:val="333333"/>
          <w:sz w:val="21"/>
          <w:szCs w:val="21"/>
        </w:rPr>
        <w:t xml:space="preserve">Step 4: Notify CQC within the required timescale using the statutory notification form.</w:t>
      </w:r>
    </w:p>
    <w:p>
      <w:pPr>
        <w:spacing w:after="60" w:before="60"/>
      </w:pPr>
      <w:r>
        <w:rPr>
          <w:rFonts w:ascii="Arial" w:cs="Arial" w:eastAsia="Arial" w:hAnsi="Arial"/>
          <w:color w:val="333333"/>
          <w:sz w:val="21"/>
          <w:szCs w:val="21"/>
        </w:rPr>
        <w:t xml:space="preserve">Step 5: Preserve evidence. Do not disturb the scene if a criminal act may have occurred. Record all observations factually, contemporaneously, and legibly.</w:t>
      </w:r>
    </w:p>
    <w:p>
      <w:pPr>
        <w:spacing w:after="60" w:before="60"/>
      </w:pPr>
      <w:r>
        <w:rPr>
          <w:rFonts w:ascii="Arial" w:cs="Arial" w:eastAsia="Arial" w:hAnsi="Arial"/>
          <w:color w:val="333333"/>
          <w:sz w:val="21"/>
          <w:szCs w:val="21"/>
        </w:rPr>
        <w:t xml:space="preserve">Step 6: Cooperate fully with any Section 42 enquiry, police investigation, or internal disciplinary process.</w:t>
      </w:r>
    </w:p>
    <w:p>
      <w:pPr>
        <w:spacing w:after="60" w:before="60"/>
      </w:pPr>
      <w:r>
        <w:rPr>
          <w:rFonts w:ascii="Arial" w:cs="Arial" w:eastAsia="Arial" w:hAnsi="Arial"/>
          <w:color w:val="333333"/>
          <w:sz w:val="21"/>
          <w:szCs w:val="21"/>
        </w:rPr>
        <w:t xml:space="preserve">Step 7: Conduct a debrief and review lessons learned. Update risk assessments and care plans as required.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Mental Capacity &amp; Safeguarding</w:t>
      </w:r>
    </w:p>
    <w:p>
      <w:pPr>
        <w:spacing w:after="60" w:before="60"/>
      </w:pPr>
      <w:r>
        <w:rPr>
          <w:rFonts w:ascii="Arial" w:cs="Arial" w:eastAsia="Arial" w:hAnsi="Arial"/>
          <w:color w:val="333333"/>
          <w:sz w:val="21"/>
          <w:szCs w:val="21"/>
        </w:rPr>
        <w:t xml:space="preserve">Where a safeguarding concern involves a person who may lack capacity to make decisions about their own safety, the Mental Capacity Act 2005 must be applied. A capacity assessment must be carried out in relation to the specific decision at the specific time. Best interests decisions must involve the person, their family (where appropriate), and an Independent Mental Capacity Advocate (IMCA) where the person is un-befriended. The principles of the MCA – presumption of capacity, supported decision-making, right to make unwise decisions, best interests, and least restrictive option – must be upheld at all times.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Recording &amp; Confidentiality</w:t>
      </w:r>
    </w:p>
    <w:p>
      <w:pPr>
        <w:spacing w:after="60" w:before="60"/>
      </w:pPr>
      <w:r>
        <w:rPr>
          <w:rFonts w:ascii="Arial" w:cs="Arial" w:eastAsia="Arial" w:hAnsi="Arial"/>
          <w:color w:val="333333"/>
          <w:sz w:val="21"/>
          <w:szCs w:val="21"/>
        </w:rPr>
        <w:t xml:space="preserve">All safeguarding concerns, referrals, actions and outcomes must be recorded on the home’s safeguarding log and in the resident’s individual care record. Information must be shared on a need-to-know basis in accordance with UK GDPR, the Data Protection Act 2018, and Caldicott Principles. Information sharing to protect a person at risk of abuse is lawful under Article 6(1)(d) and Article 9(2)(c) of UK GDPR (vital interests / safeguarding).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Training</w:t>
      </w:r>
    </w:p>
    <w:p>
      <w:pPr>
        <w:spacing w:after="60" w:before="60"/>
      </w:pPr>
      <w:r>
        <w:rPr>
          <w:rFonts w:ascii="Arial" w:cs="Arial" w:eastAsia="Arial" w:hAnsi="Arial"/>
          <w:color w:val="333333"/>
          <w:sz w:val="21"/>
          <w:szCs w:val="21"/>
        </w:rPr>
        <w:t xml:space="preserve">All staff must complete Safeguarding Adults Level 1 training at induction. Staff with direct care responsibilities must complete Level 2 within 3 months of start date. The Safeguarding Lead must hold Level 3 / Designated Safeguarding Lead (DSL) certification. Refresher training must be completed annually. Training records must be maintained and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Monitoring &amp; Review</w:t>
      </w:r>
    </w:p>
    <w:p>
      <w:pPr>
        <w:spacing w:after="60" w:before="60"/>
      </w:pPr>
      <w:r>
        <w:rPr>
          <w:rFonts w:ascii="Arial" w:cs="Arial" w:eastAsia="Arial" w:hAnsi="Arial"/>
          <w:color w:val="333333"/>
          <w:sz w:val="21"/>
          <w:szCs w:val="21"/>
        </w:rPr>
        <w:t xml:space="preserve">This policy will be reviewed at least annually by the Registered Manager and Responsible Individual, or sooner following a safeguarding incident, change in legislation, CQC inspection finding, or Safeguarding Adults Review (SAR) recommendation. The home will participate in local SAB audits and reviews as required.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BS-CHP-001</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2026-05-15T11:04:01.427Z</dcterms:created>
  <dcterms:modified xsi:type="dcterms:W3CDTF">2026-05-15T11:04:01.428Z</dcterms:modified>
</cp:coreProperties>
</file>

<file path=docProps/custom.xml><?xml version="1.0" encoding="utf-8"?>
<Properties xmlns="http://schemas.openxmlformats.org/officeDocument/2006/custom-properties" xmlns:vt="http://schemas.openxmlformats.org/officeDocument/2006/docPropsVTypes"/>
</file>