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Consent to Treatment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BS-POL-DENT-006</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ensures that valid informed consent is obtained from all patients before dental examination, investigation, or treatment, in compliance with the Mental Capacity Act 2005, GDC Standards for the Dental Team (Standard 3 – Consent), Montgomery v Lanarkshire Health Board [2015] UKSC 11, and CQC Fundamental Standards (Regulation 11 – Need for Consent).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clinical staff obtaining consent for dental procedures, including routine examinations, restorative treatment, extractions, surgical procedures, sedation, and cosmetic treatments. It covers adult patients, children and young people, and patients who may lack capacity.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Mental Capacity Act 2005 (MCA)</w:t>
      </w:r>
    </w:p>
    <w:p>
      <w:pPr>
        <w:pStyle w:val="ListParagraph"/>
        <w:numPr>
          <w:ilvl w:val="0"/>
          <w:numId w:val="2"/>
        </w:numPr>
        <w:spacing w:after="40"/>
      </w:pPr>
      <w:r>
        <w:rPr>
          <w:rFonts w:ascii="Arial" w:cs="Arial" w:eastAsia="Arial" w:hAnsi="Arial"/>
          <w:color w:val="333333"/>
          <w:sz w:val="20"/>
          <w:szCs w:val="20"/>
        </w:rPr>
        <w:t xml:space="preserve">Mental Capacity Act 2005 Code of Practice</w:t>
      </w:r>
    </w:p>
    <w:p>
      <w:pPr>
        <w:pStyle w:val="ListParagraph"/>
        <w:numPr>
          <w:ilvl w:val="0"/>
          <w:numId w:val="2"/>
        </w:numPr>
        <w:spacing w:after="40"/>
      </w:pPr>
      <w:r>
        <w:rPr>
          <w:rFonts w:ascii="Arial" w:cs="Arial" w:eastAsia="Arial" w:hAnsi="Arial"/>
          <w:color w:val="333333"/>
          <w:sz w:val="20"/>
          <w:szCs w:val="20"/>
        </w:rPr>
        <w:t xml:space="preserve">Family Law Reform Act 1969 – Section 8 (consent by 16–17 year olds)</w:t>
      </w:r>
    </w:p>
    <w:p>
      <w:pPr>
        <w:pStyle w:val="ListParagraph"/>
        <w:numPr>
          <w:ilvl w:val="0"/>
          <w:numId w:val="2"/>
        </w:numPr>
        <w:spacing w:after="40"/>
      </w:pPr>
      <w:r>
        <w:rPr>
          <w:rFonts w:ascii="Arial" w:cs="Arial" w:eastAsia="Arial" w:hAnsi="Arial"/>
          <w:color w:val="333333"/>
          <w:sz w:val="20"/>
          <w:szCs w:val="20"/>
        </w:rPr>
        <w:t xml:space="preserve">Gillick v West Norfolk and Wisbech Area Health Authority [1986] – Gillick competence</w:t>
      </w:r>
    </w:p>
    <w:p>
      <w:pPr>
        <w:pStyle w:val="ListParagraph"/>
        <w:numPr>
          <w:ilvl w:val="0"/>
          <w:numId w:val="2"/>
        </w:numPr>
        <w:spacing w:after="40"/>
      </w:pPr>
      <w:r>
        <w:rPr>
          <w:rFonts w:ascii="Arial" w:cs="Arial" w:eastAsia="Arial" w:hAnsi="Arial"/>
          <w:color w:val="333333"/>
          <w:sz w:val="20"/>
          <w:szCs w:val="20"/>
        </w:rPr>
        <w:t xml:space="preserve">Montgomery v Lanarkshire Health Board [2015] UKSC 11 – material risk disclosure</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3 (Consent)</w:t>
      </w:r>
    </w:p>
    <w:p>
      <w:pPr>
        <w:pStyle w:val="ListParagraph"/>
        <w:numPr>
          <w:ilvl w:val="0"/>
          <w:numId w:val="2"/>
        </w:numPr>
        <w:spacing w:after="40"/>
      </w:pPr>
      <w:r>
        <w:rPr>
          <w:rFonts w:ascii="Arial" w:cs="Arial" w:eastAsia="Arial" w:hAnsi="Arial"/>
          <w:color w:val="333333"/>
          <w:sz w:val="20"/>
          <w:szCs w:val="20"/>
        </w:rPr>
        <w:t xml:space="preserve">CQC Fundamental Standards – Regulation 11 (Need for Consent)</w:t>
      </w:r>
    </w:p>
    <w:p>
      <w:pPr>
        <w:pStyle w:val="ListParagraph"/>
        <w:numPr>
          <w:ilvl w:val="0"/>
          <w:numId w:val="2"/>
        </w:numPr>
        <w:spacing w:after="40"/>
      </w:pPr>
      <w:r>
        <w:rPr>
          <w:rFonts w:ascii="Arial" w:cs="Arial" w:eastAsia="Arial" w:hAnsi="Arial"/>
          <w:color w:val="333333"/>
          <w:sz w:val="20"/>
          <w:szCs w:val="20"/>
        </w:rPr>
        <w:t xml:space="preserve">NHS Consent Policy Framework</w:t>
      </w:r>
    </w:p>
    <w:p>
      <w:pPr>
        <w:pStyle w:val="ListParagraph"/>
        <w:numPr>
          <w:ilvl w:val="0"/>
          <w:numId w:val="2"/>
        </w:numPr>
        <w:spacing w:after="40"/>
      </w:pPr>
      <w:r>
        <w:rPr>
          <w:rFonts w:ascii="Arial" w:cs="Arial" w:eastAsia="Arial" w:hAnsi="Arial"/>
          <w:color w:val="333333"/>
          <w:sz w:val="20"/>
          <w:szCs w:val="20"/>
        </w:rPr>
        <w:t xml:space="preserve">Data Protection Act 2018 / UK GDPR – consent for data processing (separate from treatment consent)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PRINCIPLES OF VALID CONSENT</w:t>
      </w:r>
    </w:p>
    <w:p>
      <w:pPr>
        <w:spacing w:after="80"/>
      </w:pPr>
      <w:r>
        <w:rPr>
          <w:rFonts w:ascii="Arial" w:cs="Arial" w:eastAsia="Arial" w:hAnsi="Arial"/>
          <w:color w:val="333333"/>
          <w:sz w:val="20"/>
          <w:szCs w:val="20"/>
        </w:rPr>
        <w:t xml:space="preserve">For consent to be valid, it must be given voluntarily by an appropriately informed person who has the capacity to consent. The three pillars of valid consent are:</w:t>
      </w:r>
    </w:p>
    <w:p>
      <w:pPr>
        <w:pStyle w:val="ListParagraph"/>
        <w:numPr>
          <w:ilvl w:val="0"/>
          <w:numId w:val="3"/>
        </w:numPr>
        <w:spacing w:after="40"/>
      </w:pPr>
      <w:r>
        <w:rPr>
          <w:rFonts w:ascii="Arial" w:cs="Arial" w:eastAsia="Arial" w:hAnsi="Arial"/>
          <w:color w:val="333333"/>
          <w:sz w:val="20"/>
          <w:szCs w:val="20"/>
        </w:rPr>
        <w:t xml:space="preserve">Capacity: The patient has the ability to understand, retain, weigh, and communicate information relevant to the decision (assessed per MCA 2005 if in doubt).</w:t>
      </w:r>
    </w:p>
    <w:p>
      <w:pPr>
        <w:pStyle w:val="ListParagraph"/>
        <w:numPr>
          <w:ilvl w:val="0"/>
          <w:numId w:val="3"/>
        </w:numPr>
        <w:spacing w:after="40"/>
      </w:pPr>
      <w:r>
        <w:rPr>
          <w:rFonts w:ascii="Arial" w:cs="Arial" w:eastAsia="Arial" w:hAnsi="Arial"/>
          <w:color w:val="333333"/>
          <w:sz w:val="20"/>
          <w:szCs w:val="20"/>
        </w:rPr>
        <w:t xml:space="preserve">Information: The patient has been provided with sufficient information to make an informed decision, including the nature of the proposed treatment, the material risks (Montgomery test), benefits, alternatives (including no treatment), and costs.</w:t>
      </w:r>
    </w:p>
    <w:p>
      <w:pPr>
        <w:pStyle w:val="ListParagraph"/>
        <w:numPr>
          <w:ilvl w:val="0"/>
          <w:numId w:val="3"/>
        </w:numPr>
        <w:spacing w:after="40"/>
      </w:pPr>
      <w:r>
        <w:rPr>
          <w:rFonts w:ascii="Arial" w:cs="Arial" w:eastAsia="Arial" w:hAnsi="Arial"/>
          <w:color w:val="333333"/>
          <w:sz w:val="20"/>
          <w:szCs w:val="20"/>
        </w:rPr>
        <w:t xml:space="preserve">Voluntariness: The decision is made freely, without coercion or undue influence.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PROCESS FOR OBTAINING CONSENT</w:t>
      </w:r>
    </w:p>
    <w:p>
      <w:pPr>
        <w:pStyle w:val="ListParagraph"/>
        <w:numPr>
          <w:ilvl w:val="0"/>
          <w:numId w:val="3"/>
        </w:numPr>
        <w:spacing w:after="40"/>
      </w:pPr>
      <w:r>
        <w:rPr>
          <w:rFonts w:ascii="Arial" w:cs="Arial" w:eastAsia="Arial" w:hAnsi="Arial"/>
          <w:color w:val="333333"/>
          <w:sz w:val="20"/>
          <w:szCs w:val="20"/>
        </w:rPr>
        <w:t xml:space="preserve">Explain the proposed treatment, its purpose, and expected outcomes in language the patient understands.</w:t>
      </w:r>
    </w:p>
    <w:p>
      <w:pPr>
        <w:pStyle w:val="ListParagraph"/>
        <w:numPr>
          <w:ilvl w:val="0"/>
          <w:numId w:val="3"/>
        </w:numPr>
        <w:spacing w:after="40"/>
      </w:pPr>
      <w:r>
        <w:rPr>
          <w:rFonts w:ascii="Arial" w:cs="Arial" w:eastAsia="Arial" w:hAnsi="Arial"/>
          <w:color w:val="333333"/>
          <w:sz w:val="20"/>
          <w:szCs w:val="20"/>
        </w:rPr>
        <w:t xml:space="preserve">Discuss material risks: any risk that a reasonable person in the patient’s position would consider significant, or that the clinician knows or should reasonably know this patient would attach significance to.</w:t>
      </w:r>
    </w:p>
    <w:p>
      <w:pPr>
        <w:pStyle w:val="ListParagraph"/>
        <w:numPr>
          <w:ilvl w:val="0"/>
          <w:numId w:val="3"/>
        </w:numPr>
        <w:spacing w:after="40"/>
      </w:pPr>
      <w:r>
        <w:rPr>
          <w:rFonts w:ascii="Arial" w:cs="Arial" w:eastAsia="Arial" w:hAnsi="Arial"/>
          <w:color w:val="333333"/>
          <w:sz w:val="20"/>
          <w:szCs w:val="20"/>
        </w:rPr>
        <w:t xml:space="preserve">Discuss all reasonable alternatives, including no treatment, and their relative risks and benefits.</w:t>
      </w:r>
    </w:p>
    <w:p>
      <w:pPr>
        <w:pStyle w:val="ListParagraph"/>
        <w:numPr>
          <w:ilvl w:val="0"/>
          <w:numId w:val="3"/>
        </w:numPr>
        <w:spacing w:after="40"/>
      </w:pPr>
      <w:r>
        <w:rPr>
          <w:rFonts w:ascii="Arial" w:cs="Arial" w:eastAsia="Arial" w:hAnsi="Arial"/>
          <w:color w:val="333333"/>
          <w:sz w:val="20"/>
          <w:szCs w:val="20"/>
        </w:rPr>
        <w:t xml:space="preserve">Allow the patient adequate time to consider the information, ask questions, and consult others if they wish.</w:t>
      </w:r>
    </w:p>
    <w:p>
      <w:pPr>
        <w:pStyle w:val="ListParagraph"/>
        <w:numPr>
          <w:ilvl w:val="0"/>
          <w:numId w:val="3"/>
        </w:numPr>
        <w:spacing w:after="40"/>
      </w:pPr>
      <w:r>
        <w:rPr>
          <w:rFonts w:ascii="Arial" w:cs="Arial" w:eastAsia="Arial" w:hAnsi="Arial"/>
          <w:color w:val="333333"/>
          <w:sz w:val="20"/>
          <w:szCs w:val="20"/>
        </w:rPr>
        <w:t xml:space="preserve">Record the consent discussion in the clinical notes (what was discussed, questions asked, patient’s response).</w:t>
      </w:r>
    </w:p>
    <w:p>
      <w:pPr>
        <w:pStyle w:val="ListParagraph"/>
        <w:numPr>
          <w:ilvl w:val="0"/>
          <w:numId w:val="3"/>
        </w:numPr>
        <w:spacing w:after="40"/>
      </w:pPr>
      <w:r>
        <w:rPr>
          <w:rFonts w:ascii="Arial" w:cs="Arial" w:eastAsia="Arial" w:hAnsi="Arial"/>
          <w:color w:val="333333"/>
          <w:sz w:val="20"/>
          <w:szCs w:val="20"/>
        </w:rPr>
        <w:t xml:space="preserve">Obtain written consent (signed consent form) for complex, invasive, or irreversible procedures (extractions, implants, sedation, surgical procedures, cosmetic treatments).</w:t>
      </w:r>
    </w:p>
    <w:p>
      <w:pPr>
        <w:pStyle w:val="ListParagraph"/>
        <w:numPr>
          <w:ilvl w:val="0"/>
          <w:numId w:val="3"/>
        </w:numPr>
        <w:spacing w:after="40"/>
      </w:pPr>
      <w:r>
        <w:rPr>
          <w:rFonts w:ascii="Arial" w:cs="Arial" w:eastAsia="Arial" w:hAnsi="Arial"/>
          <w:color w:val="333333"/>
          <w:sz w:val="20"/>
          <w:szCs w:val="20"/>
        </w:rPr>
        <w:t xml:space="preserve">Verbal consent (recorded in notes) is sufficient for routine examinations, simple restorations, and scale and polish.</w:t>
      </w:r>
    </w:p>
    <w:p>
      <w:pPr>
        <w:pStyle w:val="ListParagraph"/>
        <w:numPr>
          <w:ilvl w:val="0"/>
          <w:numId w:val="3"/>
        </w:numPr>
        <w:spacing w:after="40"/>
      </w:pPr>
      <w:r>
        <w:rPr>
          <w:rFonts w:ascii="Arial" w:cs="Arial" w:eastAsia="Arial" w:hAnsi="Arial"/>
          <w:color w:val="333333"/>
          <w:sz w:val="20"/>
          <w:szCs w:val="20"/>
        </w:rPr>
        <w:t xml:space="preserve">Consent may be withdrawn at any time – this must be respected and documented.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CHILDREN &amp; YOUNG PEOPLE</w:t>
      </w:r>
    </w:p>
    <w:p>
      <w:pPr>
        <w:spacing w:after="80" w:before="200"/>
      </w:pPr>
      <w:r>
        <w:rPr>
          <w:rFonts w:ascii="Arial" w:cs="Arial" w:eastAsia="Arial" w:hAnsi="Arial"/>
          <w:b/>
          <w:bCs/>
          <w:color w:val="0B1D3A"/>
          <w:sz w:val="22"/>
          <w:szCs w:val="22"/>
        </w:rPr>
        <w:t xml:space="preserve">6.1 Under 16 Years</w:t>
      </w:r>
    </w:p>
    <w:p>
      <w:pPr>
        <w:spacing w:after="80"/>
      </w:pPr>
      <w:r>
        <w:rPr>
          <w:rFonts w:ascii="Arial" w:cs="Arial" w:eastAsia="Arial" w:hAnsi="Arial"/>
          <w:color w:val="333333"/>
          <w:sz w:val="20"/>
          <w:szCs w:val="20"/>
        </w:rPr>
        <w:t xml:space="preserve">Consent is usually given by a person with parental responsibility. However, a child under 16 may consent to treatment if they have sufficient understanding and intelligence to fully comprehend the proposed treatment (Gillick competence). The clinician must assess and document Gillick competence. If a Gillick-competent child consents, parental consent is not required but parental involvement is encouraged where appropriate.</w:t>
      </w:r>
    </w:p>
    <w:p>
      <w:pPr>
        <w:spacing w:after="80" w:before="200"/>
      </w:pPr>
      <w:r>
        <w:rPr>
          <w:rFonts w:ascii="Arial" w:cs="Arial" w:eastAsia="Arial" w:hAnsi="Arial"/>
          <w:b/>
          <w:bCs/>
          <w:color w:val="0B1D3A"/>
          <w:sz w:val="22"/>
          <w:szCs w:val="22"/>
        </w:rPr>
        <w:t xml:space="preserve">6.2 Aged 16–17 Years</w:t>
      </w:r>
    </w:p>
    <w:p>
      <w:pPr>
        <w:spacing w:after="80"/>
      </w:pPr>
      <w:r>
        <w:rPr>
          <w:rFonts w:ascii="Arial" w:cs="Arial" w:eastAsia="Arial" w:hAnsi="Arial"/>
          <w:color w:val="333333"/>
          <w:sz w:val="20"/>
          <w:szCs w:val="20"/>
        </w:rPr>
        <w:t xml:space="preserve">Young people aged 16–17 are presumed to have capacity to consent per the Family Law Reform Act 1969, Section 8. Consent should be obtained directly from the young person. If they lack capacity, consent may be given by a person with parental responsibility.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PATIENTS WHO MAY LACK CAPACITY</w:t>
      </w:r>
    </w:p>
    <w:p>
      <w:pPr>
        <w:spacing w:after="80"/>
      </w:pPr>
      <w:r>
        <w:rPr>
          <w:rFonts w:ascii="Arial" w:cs="Arial" w:eastAsia="Arial" w:hAnsi="Arial"/>
          <w:color w:val="333333"/>
          <w:sz w:val="20"/>
          <w:szCs w:val="20"/>
        </w:rPr>
        <w:t xml:space="preserve">Where there is doubt about a patient’s capacity to consent, a formal capacity assessment shall be conducted per the Mental Capacity Act 2005. Capacity is decision-specific and time-specific – it must be assessed for each decision at the time the decision needs to be made. If a patient lacks capacity, treatment may proceed in their best interests following the MCA best interests checklist, documented in full in the clinical notes. An Independent Mental Capacity Advocate (IMCA) must be consulted for serious treatment decisions where the patient has no family or friends to consult.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DOCUMENTATION</w:t>
      </w:r>
    </w:p>
    <w:p>
      <w:pPr>
        <w:pStyle w:val="ListParagraph"/>
        <w:numPr>
          <w:ilvl w:val="0"/>
          <w:numId w:val="2"/>
        </w:numPr>
        <w:spacing w:after="40"/>
      </w:pPr>
      <w:r>
        <w:rPr>
          <w:rFonts w:ascii="Arial" w:cs="Arial" w:eastAsia="Arial" w:hAnsi="Arial"/>
          <w:color w:val="333333"/>
          <w:sz w:val="20"/>
          <w:szCs w:val="20"/>
        </w:rPr>
        <w:t xml:space="preserve">All consent discussions recorded in the clinical record: date, discussion content, risks disclosed, patient questions, and outcome.</w:t>
      </w:r>
    </w:p>
    <w:p>
      <w:pPr>
        <w:pStyle w:val="ListParagraph"/>
        <w:numPr>
          <w:ilvl w:val="0"/>
          <w:numId w:val="2"/>
        </w:numPr>
        <w:spacing w:after="40"/>
      </w:pPr>
      <w:r>
        <w:rPr>
          <w:rFonts w:ascii="Arial" w:cs="Arial" w:eastAsia="Arial" w:hAnsi="Arial"/>
          <w:color w:val="333333"/>
          <w:sz w:val="20"/>
          <w:szCs w:val="20"/>
        </w:rPr>
        <w:t xml:space="preserve">Written consent forms used for complex/invasive procedures, signed by patient (or person with parental responsibility) and clinician.</w:t>
      </w:r>
    </w:p>
    <w:p>
      <w:pPr>
        <w:pStyle w:val="ListParagraph"/>
        <w:numPr>
          <w:ilvl w:val="0"/>
          <w:numId w:val="2"/>
        </w:numPr>
        <w:spacing w:after="40"/>
      </w:pPr>
      <w:r>
        <w:rPr>
          <w:rFonts w:ascii="Arial" w:cs="Arial" w:eastAsia="Arial" w:hAnsi="Arial"/>
          <w:color w:val="333333"/>
          <w:sz w:val="20"/>
          <w:szCs w:val="20"/>
        </w:rPr>
        <w:t xml:space="preserve">Consent forms retained in the patient record for a minimum of 10 years (adults) or until the patient reaches age 25 (children).</w:t>
      </w:r>
    </w:p>
    <w:p>
      <w:pPr>
        <w:pStyle w:val="ListParagraph"/>
        <w:numPr>
          <w:ilvl w:val="0"/>
          <w:numId w:val="2"/>
        </w:numPr>
        <w:spacing w:after="40"/>
      </w:pPr>
      <w:r>
        <w:rPr>
          <w:rFonts w:ascii="Arial" w:cs="Arial" w:eastAsia="Arial" w:hAnsi="Arial"/>
          <w:color w:val="333333"/>
          <w:sz w:val="20"/>
          <w:szCs w:val="20"/>
        </w:rPr>
        <w:t xml:space="preserve">Where treatment plans change, consent shall be re-obtained and re-documented.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REVIEW</w:t>
      </w:r>
    </w:p>
    <w:p>
      <w:pPr>
        <w:spacing w:after="80"/>
      </w:pPr>
      <w:r>
        <w:rPr>
          <w:rFonts w:ascii="Arial" w:cs="Arial" w:eastAsia="Arial" w:hAnsi="Arial"/>
          <w:color w:val="333333"/>
          <w:sz w:val="20"/>
          <w:szCs w:val="20"/>
        </w:rPr>
        <w:t xml:space="preserve">This policy shall be reviewed annually, or following a consent-related complaint, incident, or regulatory update.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BS-POL-DENT-006 – Consent to Treatment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2026-05-15T11:49:03.842Z</dcterms:created>
  <dcterms:modified xsi:type="dcterms:W3CDTF">2026-05-15T11:49:03.842Z</dcterms:modified>
</cp:coreProperties>
</file>

<file path=docProps/custom.xml><?xml version="1.0" encoding="utf-8"?>
<Properties xmlns="http://schemas.openxmlformats.org/officeDocument/2006/custom-properties" xmlns:vt="http://schemas.openxmlformats.org/officeDocument/2006/docPropsVTypes"/>
</file>