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Data Protection &amp; Confidentiality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BS-POL-DENT-008</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establishes the practice’s procedures for protecting patient and staff personal data, maintaining confidentiality, and complying with the UK General Data Protection Regulation (UK GDPR), the Data Protection Act 2018, and the common law duty of confidentiality.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personal data processed by the practice, whether in electronic or paper form, including patient clinical records, staff personnel records, financial data, and CCTV footage. It applies to all staff, contractors, and third-party processors.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UK General Data Protection Regulation (UK GDPR)</w:t>
      </w:r>
    </w:p>
    <w:p>
      <w:pPr>
        <w:pStyle w:val="ListParagraph"/>
        <w:numPr>
          <w:ilvl w:val="0"/>
          <w:numId w:val="2"/>
        </w:numPr>
        <w:spacing w:after="40"/>
      </w:pPr>
      <w:r>
        <w:rPr>
          <w:rFonts w:ascii="Arial" w:cs="Arial" w:eastAsia="Arial" w:hAnsi="Arial"/>
          <w:color w:val="333333"/>
          <w:sz w:val="20"/>
          <w:szCs w:val="20"/>
        </w:rPr>
        <w:t xml:space="preserve">Data Protection Act 2018</w:t>
      </w:r>
    </w:p>
    <w:p>
      <w:pPr>
        <w:pStyle w:val="ListParagraph"/>
        <w:numPr>
          <w:ilvl w:val="0"/>
          <w:numId w:val="2"/>
        </w:numPr>
        <w:spacing w:after="40"/>
      </w:pPr>
      <w:r>
        <w:rPr>
          <w:rFonts w:ascii="Arial" w:cs="Arial" w:eastAsia="Arial" w:hAnsi="Arial"/>
          <w:color w:val="333333"/>
          <w:sz w:val="20"/>
          <w:szCs w:val="20"/>
        </w:rPr>
        <w:t xml:space="preserve">Common Law Duty of Confidentiality</w:t>
      </w:r>
    </w:p>
    <w:p>
      <w:pPr>
        <w:pStyle w:val="ListParagraph"/>
        <w:numPr>
          <w:ilvl w:val="0"/>
          <w:numId w:val="2"/>
        </w:numPr>
        <w:spacing w:after="40"/>
      </w:pPr>
      <w:r>
        <w:rPr>
          <w:rFonts w:ascii="Arial" w:cs="Arial" w:eastAsia="Arial" w:hAnsi="Arial"/>
          <w:color w:val="333333"/>
          <w:sz w:val="20"/>
          <w:szCs w:val="20"/>
        </w:rPr>
        <w:t xml:space="preserve">Computer Misuse Act 1990</w:t>
      </w:r>
    </w:p>
    <w:p>
      <w:pPr>
        <w:pStyle w:val="ListParagraph"/>
        <w:numPr>
          <w:ilvl w:val="0"/>
          <w:numId w:val="2"/>
        </w:numPr>
        <w:spacing w:after="40"/>
      </w:pPr>
      <w:r>
        <w:rPr>
          <w:rFonts w:ascii="Arial" w:cs="Arial" w:eastAsia="Arial" w:hAnsi="Arial"/>
          <w:color w:val="333333"/>
          <w:sz w:val="20"/>
          <w:szCs w:val="20"/>
        </w:rPr>
        <w:t xml:space="preserve">Freedom of Information Act 2000 (where applicable to NHS practices)</w:t>
      </w:r>
    </w:p>
    <w:p>
      <w:pPr>
        <w:pStyle w:val="ListParagraph"/>
        <w:numPr>
          <w:ilvl w:val="0"/>
          <w:numId w:val="2"/>
        </w:numPr>
        <w:spacing w:after="40"/>
      </w:pPr>
      <w:r>
        <w:rPr>
          <w:rFonts w:ascii="Arial" w:cs="Arial" w:eastAsia="Arial" w:hAnsi="Arial"/>
          <w:color w:val="333333"/>
          <w:sz w:val="20"/>
          <w:szCs w:val="20"/>
        </w:rPr>
        <w:t xml:space="preserve">Access to Health Records Act 1990</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4 (Confidentiality)</w:t>
      </w:r>
    </w:p>
    <w:p>
      <w:pPr>
        <w:pStyle w:val="ListParagraph"/>
        <w:numPr>
          <w:ilvl w:val="0"/>
          <w:numId w:val="2"/>
        </w:numPr>
        <w:spacing w:after="40"/>
      </w:pPr>
      <w:r>
        <w:rPr>
          <w:rFonts w:ascii="Arial" w:cs="Arial" w:eastAsia="Arial" w:hAnsi="Arial"/>
          <w:color w:val="333333"/>
          <w:sz w:val="20"/>
          <w:szCs w:val="20"/>
        </w:rPr>
        <w:t xml:space="preserve">Caldicott Principles (Caldicott Review, 2013)</w:t>
      </w:r>
    </w:p>
    <w:p>
      <w:pPr>
        <w:pStyle w:val="ListParagraph"/>
        <w:numPr>
          <w:ilvl w:val="0"/>
          <w:numId w:val="2"/>
        </w:numPr>
        <w:spacing w:after="40"/>
      </w:pPr>
      <w:r>
        <w:rPr>
          <w:rFonts w:ascii="Arial" w:cs="Arial" w:eastAsia="Arial" w:hAnsi="Arial"/>
          <w:color w:val="333333"/>
          <w:sz w:val="20"/>
          <w:szCs w:val="20"/>
        </w:rPr>
        <w:t xml:space="preserve">NHS Digital Data Security and Protection Toolkit (DSPT) – where applicable</w:t>
      </w:r>
    </w:p>
    <w:p>
      <w:pPr>
        <w:pStyle w:val="ListParagraph"/>
        <w:numPr>
          <w:ilvl w:val="0"/>
          <w:numId w:val="2"/>
        </w:numPr>
        <w:spacing w:after="40"/>
      </w:pPr>
      <w:r>
        <w:rPr>
          <w:rFonts w:ascii="Arial" w:cs="Arial" w:eastAsia="Arial" w:hAnsi="Arial"/>
          <w:color w:val="333333"/>
          <w:sz w:val="20"/>
          <w:szCs w:val="20"/>
        </w:rPr>
        <w:t xml:space="preserve">Information Commissioner’s Office (ICO) guidance for health sector</w:t>
      </w:r>
    </w:p>
    <w:p>
      <w:pPr>
        <w:pStyle w:val="ListParagraph"/>
        <w:numPr>
          <w:ilvl w:val="0"/>
          <w:numId w:val="2"/>
        </w:numPr>
        <w:spacing w:after="40"/>
      </w:pPr>
      <w:r>
        <w:rPr>
          <w:rFonts w:ascii="Arial" w:cs="Arial" w:eastAsia="Arial" w:hAnsi="Arial"/>
          <w:color w:val="333333"/>
          <w:sz w:val="20"/>
          <w:szCs w:val="20"/>
        </w:rPr>
        <w:t xml:space="preserve">CQC Fundamental Standards – Regulation 17 (Good Governance) data handling requirements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DATA CONTROLLER</w:t>
      </w:r>
    </w:p>
    <w:p>
      <w:pPr>
        <w:spacing w:after="80"/>
      </w:pPr>
      <w:r>
        <w:rPr>
          <w:rFonts w:ascii="Arial" w:cs="Arial" w:eastAsia="Arial" w:hAnsi="Arial"/>
          <w:color w:val="333333"/>
          <w:sz w:val="20"/>
          <w:szCs w:val="20"/>
        </w:rPr>
        <w:t xml:space="preserve">The practice is the Data Controller for all personal data processed in connection with its dental services. The practice is registered with the Information Commissioner’s Office (ICO). Registration number: [Insert ICO Registration Number].</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DATA PROTECTION PRINCIPLES</w:t>
      </w:r>
    </w:p>
    <w:p>
      <w:pPr>
        <w:spacing w:after="80"/>
      </w:pPr>
      <w:r>
        <w:rPr>
          <w:rFonts w:ascii="Arial" w:cs="Arial" w:eastAsia="Arial" w:hAnsi="Arial"/>
          <w:color w:val="333333"/>
          <w:sz w:val="20"/>
          <w:szCs w:val="20"/>
        </w:rPr>
        <w:t xml:space="preserve">The practice shall ensure all personal data is:</w:t>
      </w:r>
    </w:p>
    <w:p>
      <w:pPr>
        <w:pStyle w:val="ListParagraph"/>
        <w:numPr>
          <w:ilvl w:val="0"/>
          <w:numId w:val="3"/>
        </w:numPr>
        <w:spacing w:after="40"/>
      </w:pPr>
      <w:r>
        <w:rPr>
          <w:rFonts w:ascii="Arial" w:cs="Arial" w:eastAsia="Arial" w:hAnsi="Arial"/>
          <w:color w:val="333333"/>
          <w:sz w:val="20"/>
          <w:szCs w:val="20"/>
        </w:rPr>
        <w:t xml:space="preserve">Processed lawfully, fairly, and in a transparent manner.</w:t>
      </w:r>
    </w:p>
    <w:p>
      <w:pPr>
        <w:pStyle w:val="ListParagraph"/>
        <w:numPr>
          <w:ilvl w:val="0"/>
          <w:numId w:val="3"/>
        </w:numPr>
        <w:spacing w:after="40"/>
      </w:pPr>
      <w:r>
        <w:rPr>
          <w:rFonts w:ascii="Arial" w:cs="Arial" w:eastAsia="Arial" w:hAnsi="Arial"/>
          <w:color w:val="333333"/>
          <w:sz w:val="20"/>
          <w:szCs w:val="20"/>
        </w:rPr>
        <w:t xml:space="preserve">Collected for specified, explicit, and legitimate purposes and not further processed in a manner incompatible with those purposes.</w:t>
      </w:r>
    </w:p>
    <w:p>
      <w:pPr>
        <w:pStyle w:val="ListParagraph"/>
        <w:numPr>
          <w:ilvl w:val="0"/>
          <w:numId w:val="3"/>
        </w:numPr>
        <w:spacing w:after="40"/>
      </w:pPr>
      <w:r>
        <w:rPr>
          <w:rFonts w:ascii="Arial" w:cs="Arial" w:eastAsia="Arial" w:hAnsi="Arial"/>
          <w:color w:val="333333"/>
          <w:sz w:val="20"/>
          <w:szCs w:val="20"/>
        </w:rPr>
        <w:t xml:space="preserve">Adequate, relevant, and limited to what is necessary.</w:t>
      </w:r>
    </w:p>
    <w:p>
      <w:pPr>
        <w:pStyle w:val="ListParagraph"/>
        <w:numPr>
          <w:ilvl w:val="0"/>
          <w:numId w:val="3"/>
        </w:numPr>
        <w:spacing w:after="40"/>
      </w:pPr>
      <w:r>
        <w:rPr>
          <w:rFonts w:ascii="Arial" w:cs="Arial" w:eastAsia="Arial" w:hAnsi="Arial"/>
          <w:color w:val="333333"/>
          <w:sz w:val="20"/>
          <w:szCs w:val="20"/>
        </w:rPr>
        <w:t xml:space="preserve">Accurate and, where necessary, kept up to date.</w:t>
      </w:r>
    </w:p>
    <w:p>
      <w:pPr>
        <w:pStyle w:val="ListParagraph"/>
        <w:numPr>
          <w:ilvl w:val="0"/>
          <w:numId w:val="3"/>
        </w:numPr>
        <w:spacing w:after="40"/>
      </w:pPr>
      <w:r>
        <w:rPr>
          <w:rFonts w:ascii="Arial" w:cs="Arial" w:eastAsia="Arial" w:hAnsi="Arial"/>
          <w:color w:val="333333"/>
          <w:sz w:val="20"/>
          <w:szCs w:val="20"/>
        </w:rPr>
        <w:t xml:space="preserve">Kept in a form permitting identification for no longer than necessary.</w:t>
      </w:r>
    </w:p>
    <w:p>
      <w:pPr>
        <w:pStyle w:val="ListParagraph"/>
        <w:numPr>
          <w:ilvl w:val="0"/>
          <w:numId w:val="3"/>
        </w:numPr>
        <w:spacing w:after="40"/>
      </w:pPr>
      <w:r>
        <w:rPr>
          <w:rFonts w:ascii="Arial" w:cs="Arial" w:eastAsia="Arial" w:hAnsi="Arial"/>
          <w:color w:val="333333"/>
          <w:sz w:val="20"/>
          <w:szCs w:val="20"/>
        </w:rPr>
        <w:t xml:space="preserve">Processed in a manner ensuring appropriate security (integrity and confidentiality).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LAWFUL BASIS FOR PROCESSING</w:t>
      </w:r>
    </w:p>
    <w:p>
      <w:pPr>
        <w:spacing w:after="80" w:before="200"/>
      </w:pPr>
      <w:r>
        <w:rPr>
          <w:rFonts w:ascii="Arial" w:cs="Arial" w:eastAsia="Arial" w:hAnsi="Arial"/>
          <w:b/>
          <w:bCs/>
          <w:color w:val="0B1D3A"/>
          <w:sz w:val="22"/>
          <w:szCs w:val="22"/>
        </w:rPr>
        <w:t xml:space="preserve">6.1 Patient Clinical Data (Special Category Data)</w:t>
      </w:r>
    </w:p>
    <w:p>
      <w:pPr>
        <w:spacing w:after="80"/>
      </w:pPr>
      <w:r>
        <w:rPr>
          <w:rFonts w:ascii="Arial" w:cs="Arial" w:eastAsia="Arial" w:hAnsi="Arial"/>
          <w:color w:val="333333"/>
          <w:sz w:val="20"/>
          <w:szCs w:val="20"/>
        </w:rPr>
        <w:t xml:space="preserve">The lawful basis for processing patient health data is: Article 6(1)(e) UK GDPR (task in the public interest / exercise of official authority) for NHS patients, and Article 6(1)(f) (legitimate interests) or Article 6(1)(b) (contractual necessity) for private patients. The Article 9 condition is: Article 9(2)(h) (health or social care purposes). Explicit patient consent is not the primary lawful basis for clinical data processing, but patients will be informed of data processing through the Privacy Notice.</w:t>
      </w:r>
    </w:p>
    <w:p>
      <w:pPr>
        <w:spacing w:after="80" w:before="200"/>
      </w:pPr>
      <w:r>
        <w:rPr>
          <w:rFonts w:ascii="Arial" w:cs="Arial" w:eastAsia="Arial" w:hAnsi="Arial"/>
          <w:b/>
          <w:bCs/>
          <w:color w:val="0B1D3A"/>
          <w:sz w:val="22"/>
          <w:szCs w:val="22"/>
        </w:rPr>
        <w:t xml:space="preserve">6.2 Staff Data</w:t>
      </w:r>
    </w:p>
    <w:p>
      <w:pPr>
        <w:spacing w:after="80"/>
      </w:pPr>
      <w:r>
        <w:rPr>
          <w:rFonts w:ascii="Arial" w:cs="Arial" w:eastAsia="Arial" w:hAnsi="Arial"/>
          <w:color w:val="333333"/>
          <w:sz w:val="20"/>
          <w:szCs w:val="20"/>
        </w:rPr>
        <w:t xml:space="preserve">Staff data is processed under Article 6(1)(b) (contractual necessity) and Article 6(1)(c) (legal obligation, e.g. HMRC, pension, DBS).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PATIENT RIGHTS</w:t>
      </w:r>
    </w:p>
    <w:p>
      <w:pPr>
        <w:spacing w:after="80"/>
      </w:pPr>
      <w:r>
        <w:rPr>
          <w:rFonts w:ascii="Arial" w:cs="Arial" w:eastAsia="Arial" w:hAnsi="Arial"/>
          <w:color w:val="333333"/>
          <w:sz w:val="20"/>
          <w:szCs w:val="20"/>
        </w:rPr>
        <w:t xml:space="preserve">Patients have the following rights under UK GDPR, which the practice shall facilitate:</w:t>
      </w:r>
    </w:p>
    <w:p>
      <w:pPr>
        <w:pStyle w:val="ListParagraph"/>
        <w:numPr>
          <w:ilvl w:val="0"/>
          <w:numId w:val="2"/>
        </w:numPr>
        <w:spacing w:after="40"/>
      </w:pPr>
      <w:r>
        <w:rPr>
          <w:rFonts w:ascii="Arial" w:cs="Arial" w:eastAsia="Arial" w:hAnsi="Arial"/>
          <w:color w:val="333333"/>
          <w:sz w:val="20"/>
          <w:szCs w:val="20"/>
        </w:rPr>
        <w:t xml:space="preserve">Right of access (Subject Access Request – SAR): responded to within 1 calendar month, free of charge.</w:t>
      </w:r>
    </w:p>
    <w:p>
      <w:pPr>
        <w:pStyle w:val="ListParagraph"/>
        <w:numPr>
          <w:ilvl w:val="0"/>
          <w:numId w:val="2"/>
        </w:numPr>
        <w:spacing w:after="40"/>
      </w:pPr>
      <w:r>
        <w:rPr>
          <w:rFonts w:ascii="Arial" w:cs="Arial" w:eastAsia="Arial" w:hAnsi="Arial"/>
          <w:color w:val="333333"/>
          <w:sz w:val="20"/>
          <w:szCs w:val="20"/>
        </w:rPr>
        <w:t xml:space="preserve">Right to rectification of inaccurate data.</w:t>
      </w:r>
    </w:p>
    <w:p>
      <w:pPr>
        <w:pStyle w:val="ListParagraph"/>
        <w:numPr>
          <w:ilvl w:val="0"/>
          <w:numId w:val="2"/>
        </w:numPr>
        <w:spacing w:after="40"/>
      </w:pPr>
      <w:r>
        <w:rPr>
          <w:rFonts w:ascii="Arial" w:cs="Arial" w:eastAsia="Arial" w:hAnsi="Arial"/>
          <w:color w:val="333333"/>
          <w:sz w:val="20"/>
          <w:szCs w:val="20"/>
        </w:rPr>
        <w:t xml:space="preserve">Right to erasure (limited in healthcare – clinical records must be retained per professional retention periods).</w:t>
      </w:r>
    </w:p>
    <w:p>
      <w:pPr>
        <w:pStyle w:val="ListParagraph"/>
        <w:numPr>
          <w:ilvl w:val="0"/>
          <w:numId w:val="2"/>
        </w:numPr>
        <w:spacing w:after="40"/>
      </w:pPr>
      <w:r>
        <w:rPr>
          <w:rFonts w:ascii="Arial" w:cs="Arial" w:eastAsia="Arial" w:hAnsi="Arial"/>
          <w:color w:val="333333"/>
          <w:sz w:val="20"/>
          <w:szCs w:val="20"/>
        </w:rPr>
        <w:t xml:space="preserve">Right to data portability.</w:t>
      </w:r>
    </w:p>
    <w:p>
      <w:pPr>
        <w:pStyle w:val="ListParagraph"/>
        <w:numPr>
          <w:ilvl w:val="0"/>
          <w:numId w:val="2"/>
        </w:numPr>
        <w:spacing w:after="40"/>
      </w:pPr>
      <w:r>
        <w:rPr>
          <w:rFonts w:ascii="Arial" w:cs="Arial" w:eastAsia="Arial" w:hAnsi="Arial"/>
          <w:color w:val="333333"/>
          <w:sz w:val="20"/>
          <w:szCs w:val="20"/>
        </w:rPr>
        <w:t xml:space="preserve">Right to object to processing.</w:t>
      </w:r>
    </w:p>
    <w:p>
      <w:pPr>
        <w:pStyle w:val="ListParagraph"/>
        <w:numPr>
          <w:ilvl w:val="0"/>
          <w:numId w:val="2"/>
        </w:numPr>
        <w:spacing w:after="40"/>
      </w:pPr>
      <w:r>
        <w:rPr>
          <w:rFonts w:ascii="Arial" w:cs="Arial" w:eastAsia="Arial" w:hAnsi="Arial"/>
          <w:color w:val="333333"/>
          <w:sz w:val="20"/>
          <w:szCs w:val="20"/>
        </w:rPr>
        <w:t xml:space="preserve">Right to be informed (via Privacy Notice).</w:t>
      </w:r>
    </w:p>
    <w:p>
      <w:pPr>
        <w:spacing w:after="80"/>
      </w:pPr>
      <w:r>
        <w:rPr>
          <w:rFonts w:ascii="Arial" w:cs="Arial" w:eastAsia="Arial" w:hAnsi="Arial"/>
          <w:color w:val="333333"/>
          <w:sz w:val="20"/>
          <w:szCs w:val="20"/>
        </w:rPr>
        <w:t xml:space="preserve">Subject Access Requests shall be directed to: [Insert Name / Data Protection Lead]. Identity must be verified before disclosure.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SECURITY MEASURES</w:t>
      </w:r>
    </w:p>
    <w:p>
      <w:pPr>
        <w:pStyle w:val="ListParagraph"/>
        <w:numPr>
          <w:ilvl w:val="0"/>
          <w:numId w:val="2"/>
        </w:numPr>
        <w:spacing w:after="40"/>
      </w:pPr>
      <w:r>
        <w:rPr>
          <w:rFonts w:ascii="Arial" w:cs="Arial" w:eastAsia="Arial" w:hAnsi="Arial"/>
          <w:color w:val="333333"/>
          <w:sz w:val="20"/>
          <w:szCs w:val="20"/>
        </w:rPr>
        <w:t xml:space="preserve">Electronic records: practice management system password-protected with role-based access; encryption of data at rest and in transit; automatic screen lock after 5 minutes; daily encrypted backups stored offsite/cloud; antivirus and firewall maintained; software updates applied promptly.</w:t>
      </w:r>
    </w:p>
    <w:p>
      <w:pPr>
        <w:pStyle w:val="ListParagraph"/>
        <w:numPr>
          <w:ilvl w:val="0"/>
          <w:numId w:val="2"/>
        </w:numPr>
        <w:spacing w:after="40"/>
      </w:pPr>
      <w:r>
        <w:rPr>
          <w:rFonts w:ascii="Arial" w:cs="Arial" w:eastAsia="Arial" w:hAnsi="Arial"/>
          <w:color w:val="333333"/>
          <w:sz w:val="20"/>
          <w:szCs w:val="20"/>
        </w:rPr>
        <w:t xml:space="preserve">Paper records: stored in locked cabinets in a secure area; clean desk policy; confidential waste shredded (cross-cut, DIN Level P-4 minimum) or disposed via confidential waste contractor.</w:t>
      </w:r>
    </w:p>
    <w:p>
      <w:pPr>
        <w:pStyle w:val="ListParagraph"/>
        <w:numPr>
          <w:ilvl w:val="0"/>
          <w:numId w:val="2"/>
        </w:numPr>
        <w:spacing w:after="40"/>
      </w:pPr>
      <w:r>
        <w:rPr>
          <w:rFonts w:ascii="Arial" w:cs="Arial" w:eastAsia="Arial" w:hAnsi="Arial"/>
          <w:color w:val="333333"/>
          <w:sz w:val="20"/>
          <w:szCs w:val="20"/>
        </w:rPr>
        <w:t xml:space="preserve">Email: patient identifiable information sent via encrypted NHS mail or secure messaging platform only; no patient data via personal email.</w:t>
      </w:r>
    </w:p>
    <w:p>
      <w:pPr>
        <w:pStyle w:val="ListParagraph"/>
        <w:numPr>
          <w:ilvl w:val="0"/>
          <w:numId w:val="2"/>
        </w:numPr>
        <w:spacing w:after="40"/>
      </w:pPr>
      <w:r>
        <w:rPr>
          <w:rFonts w:ascii="Arial" w:cs="Arial" w:eastAsia="Arial" w:hAnsi="Arial"/>
          <w:color w:val="333333"/>
          <w:sz w:val="20"/>
          <w:szCs w:val="20"/>
        </w:rPr>
        <w:t xml:space="preserve">CCTV: signage displayed; footage retained for maximum [Insert – typically 30] days; access restricted to Practice Manager.</w:t>
      </w:r>
    </w:p>
    <w:p>
      <w:pPr>
        <w:pStyle w:val="ListParagraph"/>
        <w:numPr>
          <w:ilvl w:val="0"/>
          <w:numId w:val="2"/>
        </w:numPr>
        <w:spacing w:after="40"/>
      </w:pPr>
      <w:r>
        <w:rPr>
          <w:rFonts w:ascii="Arial" w:cs="Arial" w:eastAsia="Arial" w:hAnsi="Arial"/>
          <w:color w:val="333333"/>
          <w:sz w:val="20"/>
          <w:szCs w:val="20"/>
        </w:rPr>
        <w:t xml:space="preserve">Remote working / home access: only via approved secure VPN; no patient data stored on personal devices.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DATA BREACHES</w:t>
      </w:r>
    </w:p>
    <w:p>
      <w:pPr>
        <w:spacing w:after="80"/>
      </w:pPr>
      <w:r>
        <w:rPr>
          <w:rFonts w:ascii="Arial" w:cs="Arial" w:eastAsia="Arial" w:hAnsi="Arial"/>
          <w:color w:val="333333"/>
          <w:sz w:val="20"/>
          <w:szCs w:val="20"/>
        </w:rPr>
        <w:t xml:space="preserve">A personal data breach is any breach of security leading to the accidental or unlawful destruction, loss, alteration, unauthorised disclosure of, or access to, personal data. In the event of a data breach:</w:t>
      </w:r>
    </w:p>
    <w:p>
      <w:pPr>
        <w:pStyle w:val="ListParagraph"/>
        <w:numPr>
          <w:ilvl w:val="0"/>
          <w:numId w:val="3"/>
        </w:numPr>
        <w:spacing w:after="40"/>
      </w:pPr>
      <w:r>
        <w:rPr>
          <w:rFonts w:ascii="Arial" w:cs="Arial" w:eastAsia="Arial" w:hAnsi="Arial"/>
          <w:color w:val="333333"/>
          <w:sz w:val="20"/>
          <w:szCs w:val="20"/>
        </w:rPr>
        <w:t xml:space="preserve">The breach must be reported to the Data Protection Lead immediately.</w:t>
      </w:r>
    </w:p>
    <w:p>
      <w:pPr>
        <w:pStyle w:val="ListParagraph"/>
        <w:numPr>
          <w:ilvl w:val="0"/>
          <w:numId w:val="3"/>
        </w:numPr>
        <w:spacing w:after="40"/>
      </w:pPr>
      <w:r>
        <w:rPr>
          <w:rFonts w:ascii="Arial" w:cs="Arial" w:eastAsia="Arial" w:hAnsi="Arial"/>
          <w:color w:val="333333"/>
          <w:sz w:val="20"/>
          <w:szCs w:val="20"/>
        </w:rPr>
        <w:t xml:space="preserve">The Data Protection Lead shall assess the breach, contain it, and document the details.</w:t>
      </w:r>
    </w:p>
    <w:p>
      <w:pPr>
        <w:pStyle w:val="ListParagraph"/>
        <w:numPr>
          <w:ilvl w:val="0"/>
          <w:numId w:val="3"/>
        </w:numPr>
        <w:spacing w:after="40"/>
      </w:pPr>
      <w:r>
        <w:rPr>
          <w:rFonts w:ascii="Arial" w:cs="Arial" w:eastAsia="Arial" w:hAnsi="Arial"/>
          <w:color w:val="333333"/>
          <w:sz w:val="20"/>
          <w:szCs w:val="20"/>
        </w:rPr>
        <w:t xml:space="preserve">If the breach is likely to result in a risk to individuals’ rights and freedoms, the ICO must be notified within 72 hours of becoming aware.</w:t>
      </w:r>
    </w:p>
    <w:p>
      <w:pPr>
        <w:pStyle w:val="ListParagraph"/>
        <w:numPr>
          <w:ilvl w:val="0"/>
          <w:numId w:val="3"/>
        </w:numPr>
        <w:spacing w:after="40"/>
      </w:pPr>
      <w:r>
        <w:rPr>
          <w:rFonts w:ascii="Arial" w:cs="Arial" w:eastAsia="Arial" w:hAnsi="Arial"/>
          <w:color w:val="333333"/>
          <w:sz w:val="20"/>
          <w:szCs w:val="20"/>
        </w:rPr>
        <w:t xml:space="preserve">If the breach is likely to result in a high risk to individuals, the affected individuals must be informed without undue delay.</w:t>
      </w:r>
    </w:p>
    <w:p>
      <w:pPr>
        <w:pStyle w:val="ListParagraph"/>
        <w:numPr>
          <w:ilvl w:val="0"/>
          <w:numId w:val="3"/>
        </w:numPr>
        <w:spacing w:after="40"/>
      </w:pPr>
      <w:r>
        <w:rPr>
          <w:rFonts w:ascii="Arial" w:cs="Arial" w:eastAsia="Arial" w:hAnsi="Arial"/>
          <w:color w:val="333333"/>
          <w:sz w:val="20"/>
          <w:szCs w:val="20"/>
        </w:rPr>
        <w:t xml:space="preserve">All breaches (including those not reported to the ICO) shall be recorded in the Breach Register.</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RECORD RETENTION</w:t>
      </w:r>
    </w:p>
    <w:p>
      <w:pPr>
        <w:pStyle w:val="ListParagraph"/>
        <w:numPr>
          <w:ilvl w:val="0"/>
          <w:numId w:val="2"/>
        </w:numPr>
        <w:spacing w:after="40"/>
      </w:pPr>
      <w:r>
        <w:rPr>
          <w:rFonts w:ascii="Arial" w:cs="Arial" w:eastAsia="Arial" w:hAnsi="Arial"/>
          <w:color w:val="333333"/>
          <w:sz w:val="20"/>
          <w:szCs w:val="20"/>
        </w:rPr>
        <w:t xml:space="preserve">Adult patient records: minimum 10 years after last treatment, or until the patient is 25 years old (whichever is longer).</w:t>
      </w:r>
    </w:p>
    <w:p>
      <w:pPr>
        <w:pStyle w:val="ListParagraph"/>
        <w:numPr>
          <w:ilvl w:val="0"/>
          <w:numId w:val="2"/>
        </w:numPr>
        <w:spacing w:after="40"/>
      </w:pPr>
      <w:r>
        <w:rPr>
          <w:rFonts w:ascii="Arial" w:cs="Arial" w:eastAsia="Arial" w:hAnsi="Arial"/>
          <w:color w:val="333333"/>
          <w:sz w:val="20"/>
          <w:szCs w:val="20"/>
        </w:rPr>
        <w:t xml:space="preserve">Child patient records: until the patient reaches age 25 (or 26 if treatment concluded at age 17).</w:t>
      </w:r>
    </w:p>
    <w:p>
      <w:pPr>
        <w:pStyle w:val="ListParagraph"/>
        <w:numPr>
          <w:ilvl w:val="0"/>
          <w:numId w:val="2"/>
        </w:numPr>
        <w:spacing w:after="40"/>
      </w:pPr>
      <w:r>
        <w:rPr>
          <w:rFonts w:ascii="Arial" w:cs="Arial" w:eastAsia="Arial" w:hAnsi="Arial"/>
          <w:color w:val="333333"/>
          <w:sz w:val="20"/>
          <w:szCs w:val="20"/>
        </w:rPr>
        <w:t xml:space="preserve">Radiographs: retained as part of the clinical record for the same periods.</w:t>
      </w:r>
    </w:p>
    <w:p>
      <w:pPr>
        <w:pStyle w:val="ListParagraph"/>
        <w:numPr>
          <w:ilvl w:val="0"/>
          <w:numId w:val="2"/>
        </w:numPr>
        <w:spacing w:after="40"/>
      </w:pPr>
      <w:r>
        <w:rPr>
          <w:rFonts w:ascii="Arial" w:cs="Arial" w:eastAsia="Arial" w:hAnsi="Arial"/>
          <w:color w:val="333333"/>
          <w:sz w:val="20"/>
          <w:szCs w:val="20"/>
        </w:rPr>
        <w:t xml:space="preserve">Staff records: 6 years after employment ends (longer for pension and tax records per HMRC requirements).</w:t>
      </w:r>
    </w:p>
    <w:p>
      <w:pPr>
        <w:pStyle w:val="ListParagraph"/>
        <w:numPr>
          <w:ilvl w:val="0"/>
          <w:numId w:val="2"/>
        </w:numPr>
        <w:spacing w:after="40"/>
      </w:pPr>
      <w:r>
        <w:rPr>
          <w:rFonts w:ascii="Arial" w:cs="Arial" w:eastAsia="Arial" w:hAnsi="Arial"/>
          <w:color w:val="333333"/>
          <w:sz w:val="20"/>
          <w:szCs w:val="20"/>
        </w:rPr>
        <w:t xml:space="preserve">CCTV: maximum [Insert] days unless retained for an ongoing investigation.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11. TRAINING</w:t>
      </w:r>
    </w:p>
    <w:p>
      <w:pPr>
        <w:spacing w:after="80"/>
      </w:pPr>
      <w:r>
        <w:rPr>
          <w:rFonts w:ascii="Arial" w:cs="Arial" w:eastAsia="Arial" w:hAnsi="Arial"/>
          <w:color w:val="333333"/>
          <w:sz w:val="20"/>
          <w:szCs w:val="20"/>
        </w:rPr>
        <w:t xml:space="preserve">All staff shall complete data protection and confidentiality training at induction, with annual refresher training. Staff handling personal data shall sign a Confidentiality Agreement. Training records shall be maintained and audited annually.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12. REVIEW</w:t>
      </w:r>
    </w:p>
    <w:p>
      <w:pPr>
        <w:spacing w:after="80"/>
      </w:pPr>
      <w:r>
        <w:rPr>
          <w:rFonts w:ascii="Arial" w:cs="Arial" w:eastAsia="Arial" w:hAnsi="Arial"/>
          <w:color w:val="333333"/>
          <w:sz w:val="20"/>
          <w:szCs w:val="20"/>
        </w:rPr>
        <w:t xml:space="preserve">This policy shall be reviewed annually, following a data breach, a change in processing activities, or updated ICO/regulatory guidance.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BS-POL-DENT-008 – Data Protection &amp; Confidentiality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2026-05-15T11:49:04.005Z</dcterms:created>
  <dcterms:modified xsi:type="dcterms:W3CDTF">2026-05-15T11:49:04.005Z</dcterms:modified>
</cp:coreProperties>
</file>

<file path=docProps/custom.xml><?xml version="1.0" encoding="utf-8"?>
<Properties xmlns="http://schemas.openxmlformats.org/officeDocument/2006/custom-properties" xmlns:vt="http://schemas.openxmlformats.org/officeDocument/2006/docPropsVTypes"/>
</file>