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Equality, Diversity &amp; Reasonable Adjustments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BS-POL-DENT-009</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sets out the practice’s commitment to equality, diversity, and inclusion for patients and staff, and its duty to make reasonable adjustments for disabled patients and employees, in compliance with the Equality Act 2010, CQC Fundamental Standards (Regulation 10 – Dignity and Respect, Regulation 9 – Person-Centred Care), and GDC Standards.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patients, staff, job applicants, and visitors. It covers all aspects of service delivery and employment, including recruitment, training, promotion, patient access, treatment planning, and communication.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Equality Act 2010 – including the Public Sector Equality Duty (Section 149) where applicable to NHS services</w:t>
      </w:r>
    </w:p>
    <w:p>
      <w:pPr>
        <w:pStyle w:val="ListParagraph"/>
        <w:numPr>
          <w:ilvl w:val="0"/>
          <w:numId w:val="2"/>
        </w:numPr>
        <w:spacing w:after="40"/>
      </w:pPr>
      <w:r>
        <w:rPr>
          <w:rFonts w:ascii="Arial" w:cs="Arial" w:eastAsia="Arial" w:hAnsi="Arial"/>
          <w:color w:val="333333"/>
          <w:sz w:val="20"/>
          <w:szCs w:val="20"/>
        </w:rPr>
        <w:t xml:space="preserve">Equality Act 2010 – Sections 20–22 (Duty to Make Reasonable Adjustments)</w:t>
      </w:r>
    </w:p>
    <w:p>
      <w:pPr>
        <w:pStyle w:val="ListParagraph"/>
        <w:numPr>
          <w:ilvl w:val="0"/>
          <w:numId w:val="2"/>
        </w:numPr>
        <w:spacing w:after="40"/>
      </w:pPr>
      <w:r>
        <w:rPr>
          <w:rFonts w:ascii="Arial" w:cs="Arial" w:eastAsia="Arial" w:hAnsi="Arial"/>
          <w:color w:val="333333"/>
          <w:sz w:val="20"/>
          <w:szCs w:val="20"/>
        </w:rPr>
        <w:t xml:space="preserve">Human Rights Act 1998</w:t>
      </w:r>
    </w:p>
    <w:p>
      <w:pPr>
        <w:pStyle w:val="ListParagraph"/>
        <w:numPr>
          <w:ilvl w:val="0"/>
          <w:numId w:val="2"/>
        </w:numPr>
        <w:spacing w:after="40"/>
      </w:pPr>
      <w:r>
        <w:rPr>
          <w:rFonts w:ascii="Arial" w:cs="Arial" w:eastAsia="Arial" w:hAnsi="Arial"/>
          <w:color w:val="333333"/>
          <w:sz w:val="20"/>
          <w:szCs w:val="20"/>
        </w:rPr>
        <w:t xml:space="preserve">Mental Capacity Act 2005</w:t>
      </w:r>
    </w:p>
    <w:p>
      <w:pPr>
        <w:pStyle w:val="ListParagraph"/>
        <w:numPr>
          <w:ilvl w:val="0"/>
          <w:numId w:val="2"/>
        </w:numPr>
        <w:spacing w:after="40"/>
      </w:pPr>
      <w:r>
        <w:rPr>
          <w:rFonts w:ascii="Arial" w:cs="Arial" w:eastAsia="Arial" w:hAnsi="Arial"/>
          <w:color w:val="333333"/>
          <w:sz w:val="20"/>
          <w:szCs w:val="20"/>
        </w:rPr>
        <w:t xml:space="preserve">Accessible Information Standard (NHS England, 2016)</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1 (Patient Interests) &amp; Standard 6 (Working with Colleagues)</w:t>
      </w:r>
    </w:p>
    <w:p>
      <w:pPr>
        <w:pStyle w:val="ListParagraph"/>
        <w:numPr>
          <w:ilvl w:val="0"/>
          <w:numId w:val="2"/>
        </w:numPr>
        <w:spacing w:after="40"/>
      </w:pPr>
      <w:r>
        <w:rPr>
          <w:rFonts w:ascii="Arial" w:cs="Arial" w:eastAsia="Arial" w:hAnsi="Arial"/>
          <w:color w:val="333333"/>
          <w:sz w:val="20"/>
          <w:szCs w:val="20"/>
        </w:rPr>
        <w:t xml:space="preserve">CQC Fundamental Standards – Regulation 9 (Person-Centred Care) &amp; Regulation 10 (Dignity and Respect)</w:t>
      </w:r>
    </w:p>
    <w:p>
      <w:pPr>
        <w:pStyle w:val="ListParagraph"/>
        <w:numPr>
          <w:ilvl w:val="0"/>
          <w:numId w:val="2"/>
        </w:numPr>
        <w:spacing w:after="40"/>
      </w:pPr>
      <w:r>
        <w:rPr>
          <w:rFonts w:ascii="Arial" w:cs="Arial" w:eastAsia="Arial" w:hAnsi="Arial"/>
          <w:color w:val="333333"/>
          <w:sz w:val="20"/>
          <w:szCs w:val="20"/>
        </w:rPr>
        <w:t xml:space="preserve">NHS Equality Delivery System (EDS2) (where applicable)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POLICY STATEMENT</w:t>
      </w:r>
    </w:p>
    <w:p>
      <w:pPr>
        <w:spacing w:after="80"/>
      </w:pPr>
      <w:r>
        <w:rPr>
          <w:rFonts w:ascii="Arial" w:cs="Arial" w:eastAsia="Arial" w:hAnsi="Arial"/>
          <w:color w:val="333333"/>
          <w:sz w:val="20"/>
          <w:szCs w:val="20"/>
        </w:rPr>
        <w:t xml:space="preserve">The practice is committed to treating all patients and staff with dignity, respect, and fairness. No person shall be discriminated against, harassed, or victimised on the grounds of any protected characteristic under the Equality Act 2010: age, disability, gender reassignment, marriage and civil partnership, pregnancy and maternity, race, religion or belief, sex, or sexual orientation.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REASONABLE ADJUSTMENTS FOR PATIENTS</w:t>
      </w:r>
    </w:p>
    <w:p>
      <w:pPr>
        <w:spacing w:after="80"/>
      </w:pPr>
      <w:r>
        <w:rPr>
          <w:rFonts w:ascii="Arial" w:cs="Arial" w:eastAsia="Arial" w:hAnsi="Arial"/>
          <w:color w:val="333333"/>
          <w:sz w:val="20"/>
          <w:szCs w:val="20"/>
        </w:rPr>
        <w:t xml:space="preserve">The practice has a legal duty under the Equality Act 2010 to make reasonable adjustments to ensure that disabled patients are not placed at a substantial disadvantage compared to non-disabled patients. Adjustments may include but are not limited to:</w:t>
      </w:r>
    </w:p>
    <w:p>
      <w:pPr>
        <w:pStyle w:val="ListParagraph"/>
        <w:numPr>
          <w:ilvl w:val="0"/>
          <w:numId w:val="2"/>
        </w:numPr>
        <w:spacing w:after="40"/>
      </w:pPr>
      <w:r>
        <w:rPr>
          <w:rFonts w:ascii="Arial" w:cs="Arial" w:eastAsia="Arial" w:hAnsi="Arial"/>
          <w:color w:val="333333"/>
          <w:sz w:val="20"/>
          <w:szCs w:val="20"/>
        </w:rPr>
        <w:t xml:space="preserve">Physical access: ground-floor surgery, ramp access, accessible toilet, hearing loop, appropriate signage.</w:t>
      </w:r>
    </w:p>
    <w:p>
      <w:pPr>
        <w:pStyle w:val="ListParagraph"/>
        <w:numPr>
          <w:ilvl w:val="0"/>
          <w:numId w:val="2"/>
        </w:numPr>
        <w:spacing w:after="40"/>
      </w:pPr>
      <w:r>
        <w:rPr>
          <w:rFonts w:ascii="Arial" w:cs="Arial" w:eastAsia="Arial" w:hAnsi="Arial"/>
          <w:color w:val="333333"/>
          <w:sz w:val="20"/>
          <w:szCs w:val="20"/>
        </w:rPr>
        <w:t xml:space="preserve">Communication: large print materials, easy read documents, BSL interpreter arranged, translation services, longer appointment times for patients with learning disabilities or communication needs.</w:t>
      </w:r>
    </w:p>
    <w:p>
      <w:pPr>
        <w:pStyle w:val="ListParagraph"/>
        <w:numPr>
          <w:ilvl w:val="0"/>
          <w:numId w:val="2"/>
        </w:numPr>
        <w:spacing w:after="40"/>
      </w:pPr>
      <w:r>
        <w:rPr>
          <w:rFonts w:ascii="Arial" w:cs="Arial" w:eastAsia="Arial" w:hAnsi="Arial"/>
          <w:color w:val="333333"/>
          <w:sz w:val="20"/>
          <w:szCs w:val="20"/>
        </w:rPr>
        <w:t xml:space="preserve">Appointment adjustments: first/last appointment of the day, double appointment slots, quiet waiting area, pre-visit familiarisation.</w:t>
      </w:r>
    </w:p>
    <w:p>
      <w:pPr>
        <w:pStyle w:val="ListParagraph"/>
        <w:numPr>
          <w:ilvl w:val="0"/>
          <w:numId w:val="2"/>
        </w:numPr>
        <w:spacing w:after="40"/>
      </w:pPr>
      <w:r>
        <w:rPr>
          <w:rFonts w:ascii="Arial" w:cs="Arial" w:eastAsia="Arial" w:hAnsi="Arial"/>
          <w:color w:val="333333"/>
          <w:sz w:val="20"/>
          <w:szCs w:val="20"/>
        </w:rPr>
        <w:t xml:space="preserve">Treatment adjustments: desensitisation visits, sedation options, adaptations for wheelchair users, use of visual aids and social stories for patients with autism.</w:t>
      </w:r>
    </w:p>
    <w:p>
      <w:pPr>
        <w:pStyle w:val="ListParagraph"/>
        <w:numPr>
          <w:ilvl w:val="0"/>
          <w:numId w:val="2"/>
        </w:numPr>
        <w:spacing w:after="40"/>
      </w:pPr>
      <w:r>
        <w:rPr>
          <w:rFonts w:ascii="Arial" w:cs="Arial" w:eastAsia="Arial" w:hAnsi="Arial"/>
          <w:color w:val="333333"/>
          <w:sz w:val="20"/>
          <w:szCs w:val="20"/>
        </w:rPr>
        <w:t xml:space="preserve">Compliance with the Accessible Information Standard (NHS patients): recording, flagging, sharing, and meeting patients’ information and communication needs.</w:t>
      </w:r>
    </w:p>
    <w:p>
      <w:pPr>
        <w:spacing w:after="80"/>
      </w:pPr>
      <w:r>
        <w:rPr>
          <w:rFonts w:ascii="Arial" w:cs="Arial" w:eastAsia="Arial" w:hAnsi="Arial"/>
          <w:color w:val="333333"/>
          <w:sz w:val="20"/>
          <w:szCs w:val="20"/>
        </w:rPr>
        <w:t xml:space="preserve">A Reasonable Adjustments Register shall be maintained within the practice management system to flag individual patient needs at every visit.</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EQUALITY IN EMPLOYMENT</w:t>
      </w:r>
    </w:p>
    <w:p>
      <w:pPr>
        <w:pStyle w:val="ListParagraph"/>
        <w:numPr>
          <w:ilvl w:val="0"/>
          <w:numId w:val="2"/>
        </w:numPr>
        <w:spacing w:after="40"/>
      </w:pPr>
      <w:r>
        <w:rPr>
          <w:rFonts w:ascii="Arial" w:cs="Arial" w:eastAsia="Arial" w:hAnsi="Arial"/>
          <w:color w:val="333333"/>
          <w:sz w:val="20"/>
          <w:szCs w:val="20"/>
        </w:rPr>
        <w:t xml:space="preserve">Recruitment: job advertisements shall be inclusive; selection based on merit and suitability; reasonable adjustments made for disabled candidates at interview and in the workplace.</w:t>
      </w:r>
    </w:p>
    <w:p>
      <w:pPr>
        <w:pStyle w:val="ListParagraph"/>
        <w:numPr>
          <w:ilvl w:val="0"/>
          <w:numId w:val="2"/>
        </w:numPr>
        <w:spacing w:after="40"/>
      </w:pPr>
      <w:r>
        <w:rPr>
          <w:rFonts w:ascii="Arial" w:cs="Arial" w:eastAsia="Arial" w:hAnsi="Arial"/>
          <w:color w:val="333333"/>
          <w:sz w:val="20"/>
          <w:szCs w:val="20"/>
        </w:rPr>
        <w:t xml:space="preserve">Training: all staff shall have equal access to CPD and development opportunities.</w:t>
      </w:r>
    </w:p>
    <w:p>
      <w:pPr>
        <w:pStyle w:val="ListParagraph"/>
        <w:numPr>
          <w:ilvl w:val="0"/>
          <w:numId w:val="2"/>
        </w:numPr>
        <w:spacing w:after="40"/>
      </w:pPr>
      <w:r>
        <w:rPr>
          <w:rFonts w:ascii="Arial" w:cs="Arial" w:eastAsia="Arial" w:hAnsi="Arial"/>
          <w:color w:val="333333"/>
          <w:sz w:val="20"/>
          <w:szCs w:val="20"/>
        </w:rPr>
        <w:t xml:space="preserve">Workplace adjustments: reasonable adjustments made for staff with disabilities or long-term health conditions (e.g. ergonomic equipment, flexible working, phased return to work).</w:t>
      </w:r>
    </w:p>
    <w:p>
      <w:pPr>
        <w:pStyle w:val="ListParagraph"/>
        <w:numPr>
          <w:ilvl w:val="0"/>
          <w:numId w:val="2"/>
        </w:numPr>
        <w:spacing w:after="40"/>
      </w:pPr>
      <w:r>
        <w:rPr>
          <w:rFonts w:ascii="Arial" w:cs="Arial" w:eastAsia="Arial" w:hAnsi="Arial"/>
          <w:color w:val="333333"/>
          <w:sz w:val="20"/>
          <w:szCs w:val="20"/>
        </w:rPr>
        <w:t xml:space="preserve">Zero tolerance of harassment, bullying, and discrimination – incidents investigated under the Disciplinary Procedure.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TRAINING</w:t>
      </w:r>
    </w:p>
    <w:p>
      <w:pPr>
        <w:pStyle w:val="ListParagraph"/>
        <w:numPr>
          <w:ilvl w:val="0"/>
          <w:numId w:val="2"/>
        </w:numPr>
        <w:spacing w:after="40"/>
      </w:pPr>
      <w:r>
        <w:rPr>
          <w:rFonts w:ascii="Arial" w:cs="Arial" w:eastAsia="Arial" w:hAnsi="Arial"/>
          <w:color w:val="333333"/>
          <w:sz w:val="20"/>
          <w:szCs w:val="20"/>
        </w:rPr>
        <w:t xml:space="preserve">All staff: equality, diversity, and unconscious bias training at induction and refreshed every 3 years.</w:t>
      </w:r>
    </w:p>
    <w:p>
      <w:pPr>
        <w:pStyle w:val="ListParagraph"/>
        <w:numPr>
          <w:ilvl w:val="0"/>
          <w:numId w:val="2"/>
        </w:numPr>
        <w:spacing w:after="40"/>
      </w:pPr>
      <w:r>
        <w:rPr>
          <w:rFonts w:ascii="Arial" w:cs="Arial" w:eastAsia="Arial" w:hAnsi="Arial"/>
          <w:color w:val="333333"/>
          <w:sz w:val="20"/>
          <w:szCs w:val="20"/>
        </w:rPr>
        <w:t xml:space="preserve">Clinical staff: additional training on communication with patients with learning disabilities, dementia, and sensory impairment.</w:t>
      </w:r>
    </w:p>
    <w:p>
      <w:pPr>
        <w:pStyle w:val="ListParagraph"/>
        <w:numPr>
          <w:ilvl w:val="0"/>
          <w:numId w:val="2"/>
        </w:numPr>
        <w:spacing w:after="40"/>
      </w:pPr>
      <w:r>
        <w:rPr>
          <w:rFonts w:ascii="Arial" w:cs="Arial" w:eastAsia="Arial" w:hAnsi="Arial"/>
          <w:color w:val="333333"/>
          <w:sz w:val="20"/>
          <w:szCs w:val="20"/>
        </w:rPr>
        <w:t xml:space="preserve">Reception staff: training on the Accessible Information Standard and reasonable adjustments at the front desk.</w:t>
      </w:r>
    </w:p>
    <w:p>
      <w:pPr>
        <w:pStyle w:val="ListParagraph"/>
        <w:numPr>
          <w:ilvl w:val="0"/>
          <w:numId w:val="2"/>
        </w:numPr>
        <w:spacing w:after="40"/>
      </w:pPr>
      <w:r>
        <w:rPr>
          <w:rFonts w:ascii="Arial" w:cs="Arial" w:eastAsia="Arial" w:hAnsi="Arial"/>
          <w:color w:val="333333"/>
          <w:sz w:val="20"/>
          <w:szCs w:val="20"/>
        </w:rPr>
        <w:t xml:space="preserve">Training records maintained and audited annually.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MONITORING</w:t>
      </w:r>
    </w:p>
    <w:p>
      <w:pPr>
        <w:pStyle w:val="ListParagraph"/>
        <w:numPr>
          <w:ilvl w:val="0"/>
          <w:numId w:val="2"/>
        </w:numPr>
        <w:spacing w:after="40"/>
      </w:pPr>
      <w:r>
        <w:rPr>
          <w:rFonts w:ascii="Arial" w:cs="Arial" w:eastAsia="Arial" w:hAnsi="Arial"/>
          <w:color w:val="333333"/>
          <w:sz w:val="20"/>
          <w:szCs w:val="20"/>
        </w:rPr>
        <w:t xml:space="preserve">Patient feedback monitored for equality-related issues.</w:t>
      </w:r>
    </w:p>
    <w:p>
      <w:pPr>
        <w:pStyle w:val="ListParagraph"/>
        <w:numPr>
          <w:ilvl w:val="0"/>
          <w:numId w:val="2"/>
        </w:numPr>
        <w:spacing w:after="40"/>
      </w:pPr>
      <w:r>
        <w:rPr>
          <w:rFonts w:ascii="Arial" w:cs="Arial" w:eastAsia="Arial" w:hAnsi="Arial"/>
          <w:color w:val="333333"/>
          <w:sz w:val="20"/>
          <w:szCs w:val="20"/>
        </w:rPr>
        <w:t xml:space="preserve">Complaints analysed for discriminatory patterns.</w:t>
      </w:r>
    </w:p>
    <w:p>
      <w:pPr>
        <w:pStyle w:val="ListParagraph"/>
        <w:numPr>
          <w:ilvl w:val="0"/>
          <w:numId w:val="2"/>
        </w:numPr>
        <w:spacing w:after="40"/>
      </w:pPr>
      <w:r>
        <w:rPr>
          <w:rFonts w:ascii="Arial" w:cs="Arial" w:eastAsia="Arial" w:hAnsi="Arial"/>
          <w:color w:val="333333"/>
          <w:sz w:val="20"/>
          <w:szCs w:val="20"/>
        </w:rPr>
        <w:t xml:space="preserve">Reasonable adjustments register reviewed quarterly.</w:t>
      </w:r>
    </w:p>
    <w:p>
      <w:pPr>
        <w:pStyle w:val="ListParagraph"/>
        <w:numPr>
          <w:ilvl w:val="0"/>
          <w:numId w:val="2"/>
        </w:numPr>
        <w:spacing w:after="40"/>
      </w:pPr>
      <w:r>
        <w:rPr>
          <w:rFonts w:ascii="Arial" w:cs="Arial" w:eastAsia="Arial" w:hAnsi="Arial"/>
          <w:color w:val="333333"/>
          <w:sz w:val="20"/>
          <w:szCs w:val="20"/>
        </w:rPr>
        <w:t xml:space="preserve">Workforce diversity monitoring (voluntary, anonymised) conducted annually.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REVIEW</w:t>
      </w:r>
    </w:p>
    <w:p>
      <w:pPr>
        <w:spacing w:after="80"/>
      </w:pPr>
      <w:r>
        <w:rPr>
          <w:rFonts w:ascii="Arial" w:cs="Arial" w:eastAsia="Arial" w:hAnsi="Arial"/>
          <w:color w:val="333333"/>
          <w:sz w:val="20"/>
          <w:szCs w:val="20"/>
        </w:rPr>
        <w:t xml:space="preserve">This policy shall be reviewed annually, or following a complaint, CQC inspection, or change in equality legislation.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BS-POL-DENT-009 – Equality, Diversity &amp; Reasonable Adjustments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2026-05-15T11:49:04.087Z</dcterms:created>
  <dcterms:modified xsi:type="dcterms:W3CDTF">2026-05-15T11:49:04.087Z</dcterms:modified>
</cp:coreProperties>
</file>

<file path=docProps/custom.xml><?xml version="1.0" encoding="utf-8"?>
<Properties xmlns="http://schemas.openxmlformats.org/officeDocument/2006/custom-properties" xmlns:vt="http://schemas.openxmlformats.org/officeDocument/2006/docPropsVTypes"/>
</file>