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Infection Prevention &amp; Control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BS-POL-DENT-001</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sets out the standards and procedures for infection prevention and control (IPC) within the dental practice, ensuring compliance with the Health and Social Care Act 2008 Code of Practice on the Prevention and Control of Infections (the Hygiene Code), CQC Fundamental Standards (Regulation 12 and 15), and HTM 01-05: Decontamination in Primary Care Dental Practices.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staff including dentists, dental nurses, hygienists, therapists, reception staff, and any visiting professionals. It covers all clinical and non-clinical areas of the practice.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Health and Social Care Act 2008 – Code of Practice on the Prevention and Control of Infections</w:t>
      </w:r>
    </w:p>
    <w:p>
      <w:pPr>
        <w:pStyle w:val="ListParagraph"/>
        <w:numPr>
          <w:ilvl w:val="0"/>
          <w:numId w:val="2"/>
        </w:numPr>
        <w:spacing w:after="40"/>
      </w:pPr>
      <w:r>
        <w:rPr>
          <w:rFonts w:ascii="Arial" w:cs="Arial" w:eastAsia="Arial" w:hAnsi="Arial"/>
          <w:color w:val="333333"/>
          <w:sz w:val="20"/>
          <w:szCs w:val="20"/>
        </w:rPr>
        <w:t xml:space="preserve">Health and Safety at Work etc. Act 1974 (HSWA) – Sections 2 &amp; 3</w:t>
      </w:r>
    </w:p>
    <w:p>
      <w:pPr>
        <w:pStyle w:val="ListParagraph"/>
        <w:numPr>
          <w:ilvl w:val="0"/>
          <w:numId w:val="2"/>
        </w:numPr>
        <w:spacing w:after="40"/>
      </w:pPr>
      <w:r>
        <w:rPr>
          <w:rFonts w:ascii="Arial" w:cs="Arial" w:eastAsia="Arial" w:hAnsi="Arial"/>
          <w:color w:val="333333"/>
          <w:sz w:val="20"/>
          <w:szCs w:val="20"/>
        </w:rPr>
        <w:t xml:space="preserve">Control of Substances Hazardous to Health Regulations 2002 (COSHH) (SI 2002/2677)</w:t>
      </w:r>
    </w:p>
    <w:p>
      <w:pPr>
        <w:pStyle w:val="ListParagraph"/>
        <w:numPr>
          <w:ilvl w:val="0"/>
          <w:numId w:val="2"/>
        </w:numPr>
        <w:spacing w:after="40"/>
      </w:pPr>
      <w:r>
        <w:rPr>
          <w:rFonts w:ascii="Arial" w:cs="Arial" w:eastAsia="Arial" w:hAnsi="Arial"/>
          <w:color w:val="333333"/>
          <w:sz w:val="20"/>
          <w:szCs w:val="20"/>
        </w:rPr>
        <w:t xml:space="preserve">HTM 01-05: Decontamination in Primary Care Dental Practices (2013)</w:t>
      </w:r>
    </w:p>
    <w:p>
      <w:pPr>
        <w:pStyle w:val="ListParagraph"/>
        <w:numPr>
          <w:ilvl w:val="0"/>
          <w:numId w:val="2"/>
        </w:numPr>
        <w:spacing w:after="40"/>
      </w:pPr>
      <w:r>
        <w:rPr>
          <w:rFonts w:ascii="Arial" w:cs="Arial" w:eastAsia="Arial" w:hAnsi="Arial"/>
          <w:color w:val="333333"/>
          <w:sz w:val="20"/>
          <w:szCs w:val="20"/>
        </w:rPr>
        <w:t xml:space="preserve">HTM 07-01: Safe Management of Healthcare Waste</w:t>
      </w:r>
    </w:p>
    <w:p>
      <w:pPr>
        <w:pStyle w:val="ListParagraph"/>
        <w:numPr>
          <w:ilvl w:val="0"/>
          <w:numId w:val="2"/>
        </w:numPr>
        <w:spacing w:after="40"/>
      </w:pPr>
      <w:r>
        <w:rPr>
          <w:rFonts w:ascii="Arial" w:cs="Arial" w:eastAsia="Arial" w:hAnsi="Arial"/>
          <w:color w:val="333333"/>
          <w:sz w:val="20"/>
          <w:szCs w:val="20"/>
        </w:rPr>
        <w:t xml:space="preserve">Personal Protective Equipment at Work Regulations 1992 (SI 1992/2966)</w:t>
      </w:r>
    </w:p>
    <w:p>
      <w:pPr>
        <w:pStyle w:val="ListParagraph"/>
        <w:numPr>
          <w:ilvl w:val="0"/>
          <w:numId w:val="2"/>
        </w:numPr>
        <w:spacing w:after="40"/>
      </w:pPr>
      <w:r>
        <w:rPr>
          <w:rFonts w:ascii="Arial" w:cs="Arial" w:eastAsia="Arial" w:hAnsi="Arial"/>
          <w:color w:val="333333"/>
          <w:sz w:val="20"/>
          <w:szCs w:val="20"/>
        </w:rPr>
        <w:t xml:space="preserve">Environmental Protection Act 1990 – Duty of Care for clinical waste</w:t>
      </w:r>
    </w:p>
    <w:p>
      <w:pPr>
        <w:pStyle w:val="ListParagraph"/>
        <w:numPr>
          <w:ilvl w:val="0"/>
          <w:numId w:val="2"/>
        </w:numPr>
        <w:spacing w:after="40"/>
      </w:pPr>
      <w:r>
        <w:rPr>
          <w:rFonts w:ascii="Arial" w:cs="Arial" w:eastAsia="Arial" w:hAnsi="Arial"/>
          <w:color w:val="333333"/>
          <w:sz w:val="20"/>
          <w:szCs w:val="20"/>
        </w:rPr>
        <w:t xml:space="preserve">Hazardous Waste (England and Wales) Regulations 2005 (SI 2005/894)</w:t>
      </w:r>
    </w:p>
    <w:p>
      <w:pPr>
        <w:pStyle w:val="ListParagraph"/>
        <w:numPr>
          <w:ilvl w:val="0"/>
          <w:numId w:val="2"/>
        </w:numPr>
        <w:spacing w:after="40"/>
      </w:pPr>
      <w:r>
        <w:rPr>
          <w:rFonts w:ascii="Arial" w:cs="Arial" w:eastAsia="Arial" w:hAnsi="Arial"/>
          <w:color w:val="333333"/>
          <w:sz w:val="20"/>
          <w:szCs w:val="20"/>
        </w:rPr>
        <w:t xml:space="preserve">CQC Fundamental Standards – Regulation 12 (Safe Care and Treatment) &amp; Regulation 15 (Premises and Equipment)</w:t>
      </w:r>
    </w:p>
    <w:p>
      <w:pPr>
        <w:pStyle w:val="ListParagraph"/>
        <w:numPr>
          <w:ilvl w:val="0"/>
          <w:numId w:val="2"/>
        </w:numPr>
        <w:spacing w:after="40"/>
      </w:pPr>
      <w:r>
        <w:rPr>
          <w:rFonts w:ascii="Arial" w:cs="Arial" w:eastAsia="Arial" w:hAnsi="Arial"/>
          <w:color w:val="333333"/>
          <w:sz w:val="20"/>
          <w:szCs w:val="20"/>
        </w:rPr>
        <w:t xml:space="preserve">Reporting of Injuries, Diseases and Dangerous Occurrences Regulations 2013 (RIDDOR) (SI 2013/1471)</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POLICY STATEMENT</w:t>
      </w:r>
    </w:p>
    <w:p>
      <w:pPr>
        <w:spacing w:after="80"/>
      </w:pPr>
      <w:r>
        <w:rPr>
          <w:rFonts w:ascii="Arial" w:cs="Arial" w:eastAsia="Arial" w:hAnsi="Arial"/>
          <w:color w:val="333333"/>
          <w:sz w:val="20"/>
          <w:szCs w:val="20"/>
        </w:rPr>
        <w:t xml:space="preserve">The practice is committed to maintaining the highest standards of infection prevention and control to protect patients, staff, and visitors from healthcare-associated infections. All clinical procedures will be carried out using standard infection control precautions, and the practice will comply with all relevant legislation and current best practice guidance.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RESPONSIBILITIES</w:t>
      </w:r>
    </w:p>
    <w:p>
      <w:pPr>
        <w:spacing w:after="80" w:before="200"/>
      </w:pPr>
      <w:r>
        <w:rPr>
          <w:rFonts w:ascii="Arial" w:cs="Arial" w:eastAsia="Arial" w:hAnsi="Arial"/>
          <w:b/>
          <w:bCs/>
          <w:color w:val="0B1D3A"/>
          <w:sz w:val="22"/>
          <w:szCs w:val="22"/>
        </w:rPr>
        <w:t xml:space="preserve">5.1 Practice Principal / Registered Manager</w:t>
      </w:r>
    </w:p>
    <w:p>
      <w:pPr>
        <w:pStyle w:val="ListParagraph"/>
        <w:numPr>
          <w:ilvl w:val="0"/>
          <w:numId w:val="2"/>
        </w:numPr>
        <w:spacing w:after="40"/>
      </w:pPr>
      <w:r>
        <w:rPr>
          <w:rFonts w:ascii="Arial" w:cs="Arial" w:eastAsia="Arial" w:hAnsi="Arial"/>
          <w:color w:val="333333"/>
          <w:sz w:val="20"/>
          <w:szCs w:val="20"/>
        </w:rPr>
        <w:t xml:space="preserve">Overall responsibility for IPC compliance and ensuring adequate resources (staffing, equipment, training) are provided.</w:t>
      </w:r>
    </w:p>
    <w:p>
      <w:pPr>
        <w:pStyle w:val="ListParagraph"/>
        <w:numPr>
          <w:ilvl w:val="0"/>
          <w:numId w:val="2"/>
        </w:numPr>
        <w:spacing w:after="40"/>
      </w:pPr>
      <w:r>
        <w:rPr>
          <w:rFonts w:ascii="Arial" w:cs="Arial" w:eastAsia="Arial" w:hAnsi="Arial"/>
          <w:color w:val="333333"/>
          <w:sz w:val="20"/>
          <w:szCs w:val="20"/>
        </w:rPr>
        <w:t xml:space="preserve">Appointment of a designated IPC Lead for the practice.</w:t>
      </w:r>
    </w:p>
    <w:p>
      <w:pPr>
        <w:pStyle w:val="ListParagraph"/>
        <w:numPr>
          <w:ilvl w:val="0"/>
          <w:numId w:val="2"/>
        </w:numPr>
        <w:spacing w:after="40"/>
      </w:pPr>
      <w:r>
        <w:rPr>
          <w:rFonts w:ascii="Arial" w:cs="Arial" w:eastAsia="Arial" w:hAnsi="Arial"/>
          <w:color w:val="333333"/>
          <w:sz w:val="20"/>
          <w:szCs w:val="20"/>
        </w:rPr>
        <w:t xml:space="preserve">Ensuring the practice meets CQC registration requirements for IPC.</w:t>
      </w:r>
    </w:p>
    <w:p>
      <w:pPr>
        <w:spacing w:after="80" w:before="200"/>
      </w:pPr>
      <w:r>
        <w:rPr>
          <w:rFonts w:ascii="Arial" w:cs="Arial" w:eastAsia="Arial" w:hAnsi="Arial"/>
          <w:b/>
          <w:bCs/>
          <w:color w:val="0B1D3A"/>
          <w:sz w:val="22"/>
          <w:szCs w:val="22"/>
        </w:rPr>
        <w:t xml:space="preserve">5.2 IPC Lead</w:t>
      </w:r>
    </w:p>
    <w:p>
      <w:pPr>
        <w:pStyle w:val="ListParagraph"/>
        <w:numPr>
          <w:ilvl w:val="0"/>
          <w:numId w:val="2"/>
        </w:numPr>
        <w:spacing w:after="40"/>
      </w:pPr>
      <w:r>
        <w:rPr>
          <w:rFonts w:ascii="Arial" w:cs="Arial" w:eastAsia="Arial" w:hAnsi="Arial"/>
          <w:color w:val="333333"/>
          <w:sz w:val="20"/>
          <w:szCs w:val="20"/>
        </w:rPr>
        <w:t xml:space="preserve">Day-to-day oversight of IPC procedures and staff compliance.</w:t>
      </w:r>
    </w:p>
    <w:p>
      <w:pPr>
        <w:pStyle w:val="ListParagraph"/>
        <w:numPr>
          <w:ilvl w:val="0"/>
          <w:numId w:val="2"/>
        </w:numPr>
        <w:spacing w:after="40"/>
      </w:pPr>
      <w:r>
        <w:rPr>
          <w:rFonts w:ascii="Arial" w:cs="Arial" w:eastAsia="Arial" w:hAnsi="Arial"/>
          <w:color w:val="333333"/>
          <w:sz w:val="20"/>
          <w:szCs w:val="20"/>
        </w:rPr>
        <w:t xml:space="preserve">Conducting quarterly IPC audits using the Dental IPC audit tool.</w:t>
      </w:r>
    </w:p>
    <w:p>
      <w:pPr>
        <w:pStyle w:val="ListParagraph"/>
        <w:numPr>
          <w:ilvl w:val="0"/>
          <w:numId w:val="2"/>
        </w:numPr>
        <w:spacing w:after="40"/>
      </w:pPr>
      <w:r>
        <w:rPr>
          <w:rFonts w:ascii="Arial" w:cs="Arial" w:eastAsia="Arial" w:hAnsi="Arial"/>
          <w:color w:val="333333"/>
          <w:sz w:val="20"/>
          <w:szCs w:val="20"/>
        </w:rPr>
        <w:t xml:space="preserve">Maintaining the IPC folder, training records, and audit action plans.</w:t>
      </w:r>
    </w:p>
    <w:p>
      <w:pPr>
        <w:pStyle w:val="ListParagraph"/>
        <w:numPr>
          <w:ilvl w:val="0"/>
          <w:numId w:val="2"/>
        </w:numPr>
        <w:spacing w:after="40"/>
      </w:pPr>
      <w:r>
        <w:rPr>
          <w:rFonts w:ascii="Arial" w:cs="Arial" w:eastAsia="Arial" w:hAnsi="Arial"/>
          <w:color w:val="333333"/>
          <w:sz w:val="20"/>
          <w:szCs w:val="20"/>
        </w:rPr>
        <w:t xml:space="preserve">Liaising with the local Health Protection Team and UKHSA as required.</w:t>
      </w:r>
    </w:p>
    <w:p>
      <w:pPr>
        <w:spacing w:after="80" w:before="200"/>
      </w:pPr>
      <w:r>
        <w:rPr>
          <w:rFonts w:ascii="Arial" w:cs="Arial" w:eastAsia="Arial" w:hAnsi="Arial"/>
          <w:b/>
          <w:bCs/>
          <w:color w:val="0B1D3A"/>
          <w:sz w:val="22"/>
          <w:szCs w:val="22"/>
        </w:rPr>
        <w:t xml:space="preserve">5.3 All Clinical Staff</w:t>
      </w:r>
    </w:p>
    <w:p>
      <w:pPr>
        <w:pStyle w:val="ListParagraph"/>
        <w:numPr>
          <w:ilvl w:val="0"/>
          <w:numId w:val="2"/>
        </w:numPr>
        <w:spacing w:after="40"/>
      </w:pPr>
      <w:r>
        <w:rPr>
          <w:rFonts w:ascii="Arial" w:cs="Arial" w:eastAsia="Arial" w:hAnsi="Arial"/>
          <w:color w:val="333333"/>
          <w:sz w:val="20"/>
          <w:szCs w:val="20"/>
        </w:rPr>
        <w:t xml:space="preserve">Complying with this policy, standard operating procedures, and the practice’s IPC protocols.</w:t>
      </w:r>
    </w:p>
    <w:p>
      <w:pPr>
        <w:pStyle w:val="ListParagraph"/>
        <w:numPr>
          <w:ilvl w:val="0"/>
          <w:numId w:val="2"/>
        </w:numPr>
        <w:spacing w:after="40"/>
      </w:pPr>
      <w:r>
        <w:rPr>
          <w:rFonts w:ascii="Arial" w:cs="Arial" w:eastAsia="Arial" w:hAnsi="Arial"/>
          <w:color w:val="333333"/>
          <w:sz w:val="20"/>
          <w:szCs w:val="20"/>
        </w:rPr>
        <w:t xml:space="preserve">Reporting any breaches, incidents, or concerns to the IPC Lead immediately.</w:t>
      </w:r>
    </w:p>
    <w:p>
      <w:pPr>
        <w:pStyle w:val="ListParagraph"/>
        <w:numPr>
          <w:ilvl w:val="0"/>
          <w:numId w:val="2"/>
        </w:numPr>
        <w:spacing w:after="40"/>
      </w:pPr>
      <w:r>
        <w:rPr>
          <w:rFonts w:ascii="Arial" w:cs="Arial" w:eastAsia="Arial" w:hAnsi="Arial"/>
          <w:color w:val="333333"/>
          <w:sz w:val="20"/>
          <w:szCs w:val="20"/>
        </w:rPr>
        <w:t xml:space="preserve">Completing IPC training at induction and annual refresher training.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STANDARD PRECAUTIONS</w:t>
      </w:r>
    </w:p>
    <w:p>
      <w:pPr>
        <w:spacing w:after="80" w:before="200"/>
      </w:pPr>
      <w:r>
        <w:rPr>
          <w:rFonts w:ascii="Arial" w:cs="Arial" w:eastAsia="Arial" w:hAnsi="Arial"/>
          <w:b/>
          <w:bCs/>
          <w:color w:val="0B1D3A"/>
          <w:sz w:val="22"/>
          <w:szCs w:val="22"/>
        </w:rPr>
        <w:t xml:space="preserve">6.1 Hand Hygiene</w:t>
      </w:r>
    </w:p>
    <w:p>
      <w:pPr>
        <w:spacing w:after="80"/>
      </w:pPr>
      <w:r>
        <w:rPr>
          <w:rFonts w:ascii="Arial" w:cs="Arial" w:eastAsia="Arial" w:hAnsi="Arial"/>
          <w:color w:val="333333"/>
          <w:sz w:val="20"/>
          <w:szCs w:val="20"/>
        </w:rPr>
        <w:t xml:space="preserve">All staff shall follow the WHO 5 Moments of Hand Hygiene. Clinical handwash basins (elbow-operated, no plug, no overflow) must be available in every surgery. Alcohol-based hand rub (ABHR) dispensers shall be positioned at point of care. A bare below the elbows policy applies to all clinical staff during patient contact.</w:t>
      </w:r>
    </w:p>
    <w:p>
      <w:pPr>
        <w:spacing w:after="80" w:before="200"/>
      </w:pPr>
      <w:r>
        <w:rPr>
          <w:rFonts w:ascii="Arial" w:cs="Arial" w:eastAsia="Arial" w:hAnsi="Arial"/>
          <w:b/>
          <w:bCs/>
          <w:color w:val="0B1D3A"/>
          <w:sz w:val="22"/>
          <w:szCs w:val="22"/>
        </w:rPr>
        <w:t xml:space="preserve">6.2 Personal Protective Equipment (PPE)</w:t>
      </w:r>
    </w:p>
    <w:p>
      <w:pPr>
        <w:spacing w:after="80"/>
      </w:pPr>
      <w:r>
        <w:rPr>
          <w:rFonts w:ascii="Arial" w:cs="Arial" w:eastAsia="Arial" w:hAnsi="Arial"/>
          <w:color w:val="333333"/>
          <w:sz w:val="20"/>
          <w:szCs w:val="20"/>
        </w:rPr>
        <w:t xml:space="preserve">PPE shall be selected based on a risk assessment of the procedure being undertaken. As a minimum for all clinical contact: disposable gloves (changed between patients), fluid-resistant surgical mask, eye protection (safety glasses or visor). For aerosol-generating procedures (AGPs): FFP3 mask (fit-tested annually), full-face visor, long-sleeved fluid-resistant gown.</w:t>
      </w:r>
    </w:p>
    <w:p>
      <w:pPr>
        <w:spacing w:after="80" w:before="200"/>
      </w:pPr>
      <w:r>
        <w:rPr>
          <w:rFonts w:ascii="Arial" w:cs="Arial" w:eastAsia="Arial" w:hAnsi="Arial"/>
          <w:b/>
          <w:bCs/>
          <w:color w:val="0B1D3A"/>
          <w:sz w:val="22"/>
          <w:szCs w:val="22"/>
        </w:rPr>
        <w:t xml:space="preserve">6.3 Respiratory Hygiene</w:t>
      </w:r>
    </w:p>
    <w:p>
      <w:pPr>
        <w:spacing w:after="80"/>
      </w:pPr>
      <w:r>
        <w:rPr>
          <w:rFonts w:ascii="Arial" w:cs="Arial" w:eastAsia="Arial" w:hAnsi="Arial"/>
          <w:color w:val="333333"/>
          <w:sz w:val="20"/>
          <w:szCs w:val="20"/>
        </w:rPr>
        <w:t xml:space="preserve">Patients with respiratory symptoms shall be identified at reception, offered a surgical mask, and seated away from other patients where possible. Tissues and hand sanitiser shall be available in the waiting area.</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INSTRUMENT DECONTAMINATION</w:t>
      </w:r>
    </w:p>
    <w:p>
      <w:pPr>
        <w:spacing w:after="80"/>
      </w:pPr>
      <w:r>
        <w:rPr>
          <w:rFonts w:ascii="Arial" w:cs="Arial" w:eastAsia="Arial" w:hAnsi="Arial"/>
          <w:color w:val="333333"/>
          <w:sz w:val="20"/>
          <w:szCs w:val="20"/>
        </w:rPr>
        <w:t xml:space="preserve">All reusable dental instruments must be decontaminated in accordance with HTM 01-05. The decontamination workflow shall follow a strict dirty-to-clean flow in a dedicated decontamination room:</w:t>
      </w:r>
    </w:p>
    <w:p>
      <w:pPr>
        <w:pStyle w:val="ListParagraph"/>
        <w:numPr>
          <w:ilvl w:val="0"/>
          <w:numId w:val="3"/>
        </w:numPr>
        <w:spacing w:after="40"/>
      </w:pPr>
      <w:r>
        <w:rPr>
          <w:rFonts w:ascii="Arial" w:cs="Arial" w:eastAsia="Arial" w:hAnsi="Arial"/>
          <w:color w:val="333333"/>
          <w:sz w:val="20"/>
          <w:szCs w:val="20"/>
        </w:rPr>
        <w:t xml:space="preserve">Transport in a covered, puncture-proof tray to the dirty zone.</w:t>
      </w:r>
    </w:p>
    <w:p>
      <w:pPr>
        <w:pStyle w:val="ListParagraph"/>
        <w:numPr>
          <w:ilvl w:val="0"/>
          <w:numId w:val="3"/>
        </w:numPr>
        <w:spacing w:after="40"/>
      </w:pPr>
      <w:r>
        <w:rPr>
          <w:rFonts w:ascii="Arial" w:cs="Arial" w:eastAsia="Arial" w:hAnsi="Arial"/>
          <w:color w:val="333333"/>
          <w:sz w:val="20"/>
          <w:szCs w:val="20"/>
        </w:rPr>
        <w:t xml:space="preserve">Manual pre-cleaning or automated processing via a validated washer-disinfector (thermal disinfection at 80–90°C for minimum 1 minute).</w:t>
      </w:r>
    </w:p>
    <w:p>
      <w:pPr>
        <w:pStyle w:val="ListParagraph"/>
        <w:numPr>
          <w:ilvl w:val="0"/>
          <w:numId w:val="3"/>
        </w:numPr>
        <w:spacing w:after="40"/>
      </w:pPr>
      <w:r>
        <w:rPr>
          <w:rFonts w:ascii="Arial" w:cs="Arial" w:eastAsia="Arial" w:hAnsi="Arial"/>
          <w:color w:val="333333"/>
          <w:sz w:val="20"/>
          <w:szCs w:val="20"/>
        </w:rPr>
        <w:t xml:space="preserve">Inspection under illuminated magnification for residual contamination.</w:t>
      </w:r>
    </w:p>
    <w:p>
      <w:pPr>
        <w:pStyle w:val="ListParagraph"/>
        <w:numPr>
          <w:ilvl w:val="0"/>
          <w:numId w:val="3"/>
        </w:numPr>
        <w:spacing w:after="40"/>
      </w:pPr>
      <w:r>
        <w:rPr>
          <w:rFonts w:ascii="Arial" w:cs="Arial" w:eastAsia="Arial" w:hAnsi="Arial"/>
          <w:color w:val="333333"/>
          <w:sz w:val="20"/>
          <w:szCs w:val="20"/>
        </w:rPr>
        <w:t xml:space="preserve">Packaging in appropriate sterilisation pouches or cassettes.</w:t>
      </w:r>
    </w:p>
    <w:p>
      <w:pPr>
        <w:pStyle w:val="ListParagraph"/>
        <w:numPr>
          <w:ilvl w:val="0"/>
          <w:numId w:val="3"/>
        </w:numPr>
        <w:spacing w:after="40"/>
      </w:pPr>
      <w:r>
        <w:rPr>
          <w:rFonts w:ascii="Arial" w:cs="Arial" w:eastAsia="Arial" w:hAnsi="Arial"/>
          <w:color w:val="333333"/>
          <w:sz w:val="20"/>
          <w:szCs w:val="20"/>
        </w:rPr>
        <w:t xml:space="preserve">Sterilisation in a validated autoclave (Type N for unwrapped, Type B for hollow/wrapped instruments).</w:t>
      </w:r>
    </w:p>
    <w:p>
      <w:pPr>
        <w:pStyle w:val="ListParagraph"/>
        <w:numPr>
          <w:ilvl w:val="0"/>
          <w:numId w:val="3"/>
        </w:numPr>
        <w:spacing w:after="40"/>
      </w:pPr>
      <w:r>
        <w:rPr>
          <w:rFonts w:ascii="Arial" w:cs="Arial" w:eastAsia="Arial" w:hAnsi="Arial"/>
          <w:color w:val="333333"/>
          <w:sz w:val="20"/>
          <w:szCs w:val="20"/>
        </w:rPr>
        <w:t xml:space="preserve">Storage of sterilised instruments in a clean, dry, designated area with expiry date labelling.</w:t>
      </w:r>
    </w:p>
    <w:p>
      <w:pPr>
        <w:spacing w:after="80" w:before="200"/>
      </w:pPr>
      <w:r>
        <w:rPr>
          <w:rFonts w:ascii="Arial" w:cs="Arial" w:eastAsia="Arial" w:hAnsi="Arial"/>
          <w:b/>
          <w:bCs/>
          <w:color w:val="0B1D3A"/>
          <w:sz w:val="22"/>
          <w:szCs w:val="22"/>
        </w:rPr>
        <w:t xml:space="preserve">7.1 Autoclave Validation</w:t>
      </w:r>
    </w:p>
    <w:p>
      <w:pPr>
        <w:pStyle w:val="ListParagraph"/>
        <w:numPr>
          <w:ilvl w:val="0"/>
          <w:numId w:val="2"/>
        </w:numPr>
        <w:spacing w:after="40"/>
      </w:pPr>
      <w:r>
        <w:rPr>
          <w:rFonts w:ascii="Arial" w:cs="Arial" w:eastAsia="Arial" w:hAnsi="Arial"/>
          <w:color w:val="333333"/>
          <w:sz w:val="20"/>
          <w:szCs w:val="20"/>
        </w:rPr>
        <w:t xml:space="preserve">Daily: automatic cycle test and Bowie-Dick/Helix test (Type B autoclave).</w:t>
      </w:r>
    </w:p>
    <w:p>
      <w:pPr>
        <w:pStyle w:val="ListParagraph"/>
        <w:numPr>
          <w:ilvl w:val="0"/>
          <w:numId w:val="2"/>
        </w:numPr>
        <w:spacing w:after="40"/>
      </w:pPr>
      <w:r>
        <w:rPr>
          <w:rFonts w:ascii="Arial" w:cs="Arial" w:eastAsia="Arial" w:hAnsi="Arial"/>
          <w:color w:val="333333"/>
          <w:sz w:val="20"/>
          <w:szCs w:val="20"/>
        </w:rPr>
        <w:t xml:space="preserve">Weekly: protein residue testing on a sample of processed instruments.</w:t>
      </w:r>
    </w:p>
    <w:p>
      <w:pPr>
        <w:pStyle w:val="ListParagraph"/>
        <w:numPr>
          <w:ilvl w:val="0"/>
          <w:numId w:val="2"/>
        </w:numPr>
        <w:spacing w:after="40"/>
      </w:pPr>
      <w:r>
        <w:rPr>
          <w:rFonts w:ascii="Arial" w:cs="Arial" w:eastAsia="Arial" w:hAnsi="Arial"/>
          <w:color w:val="333333"/>
          <w:sz w:val="20"/>
          <w:szCs w:val="20"/>
        </w:rPr>
        <w:t xml:space="preserve">Annually: full service, calibration, and validation by manufacturer-approved engineer.</w:t>
      </w:r>
    </w:p>
    <w:p>
      <w:pPr>
        <w:pStyle w:val="ListParagraph"/>
        <w:numPr>
          <w:ilvl w:val="0"/>
          <w:numId w:val="2"/>
        </w:numPr>
        <w:spacing w:after="40"/>
      </w:pPr>
      <w:r>
        <w:rPr>
          <w:rFonts w:ascii="Arial" w:cs="Arial" w:eastAsia="Arial" w:hAnsi="Arial"/>
          <w:color w:val="333333"/>
          <w:sz w:val="20"/>
          <w:szCs w:val="20"/>
        </w:rPr>
        <w:t xml:space="preserve">All test results logged in the Decontamination Log; failures investigated immediately and instruments quarantined until resolved.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DENTAL UNIT WATERLINE (DUWL) MANAGEMENT</w:t>
      </w:r>
    </w:p>
    <w:p>
      <w:pPr>
        <w:spacing w:after="80"/>
      </w:pPr>
      <w:r>
        <w:rPr>
          <w:rFonts w:ascii="Arial" w:cs="Arial" w:eastAsia="Arial" w:hAnsi="Arial"/>
          <w:color w:val="333333"/>
          <w:sz w:val="20"/>
          <w:szCs w:val="20"/>
        </w:rPr>
        <w:t xml:space="preserve">DUWLs shall be managed to minimise biofilm formation and microbial contamination per HTM 01-05. A waterline treatment system shall be installed on all dental chairs. Waterlines shall be flushed for a minimum of 2 minutes at the start of each day and for 20–30 seconds between patients. Independent water reservoirs with sterile or distilled water shall be used for surgical procedures. Quarterly microbiological water sampling shall be conducted; results must demonstrate ≤20 CFU/ml at the point of use (or ≤100 CFU/ml for non-surgical use). Unsatisfactory results shall trigger immediate remedial action and re-testing.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CLINICAL WASTE MANAGEMENT</w:t>
      </w:r>
    </w:p>
    <w:p>
      <w:pPr>
        <w:spacing w:after="80"/>
      </w:pPr>
      <w:r>
        <w:rPr>
          <w:rFonts w:ascii="Arial" w:cs="Arial" w:eastAsia="Arial" w:hAnsi="Arial"/>
          <w:color w:val="333333"/>
          <w:sz w:val="20"/>
          <w:szCs w:val="20"/>
        </w:rPr>
        <w:t xml:space="preserve">Clinical waste shall be segregated, stored, and disposed of in accordance with HTM 07-01, the Environmental Protection Act 1990, and Hazardous Waste Regulations 2005:</w:t>
      </w:r>
    </w:p>
    <w:p>
      <w:pPr>
        <w:pStyle w:val="ListParagraph"/>
        <w:numPr>
          <w:ilvl w:val="0"/>
          <w:numId w:val="2"/>
        </w:numPr>
        <w:spacing w:after="40"/>
      </w:pPr>
      <w:r>
        <w:rPr>
          <w:rFonts w:ascii="Arial" w:cs="Arial" w:eastAsia="Arial" w:hAnsi="Arial"/>
          <w:color w:val="333333"/>
          <w:sz w:val="20"/>
          <w:szCs w:val="20"/>
        </w:rPr>
        <w:t xml:space="preserve">Yellow bags/containers: infectious clinical waste (contaminated PPE, dressings, extracted teeth with amalgam removed).</w:t>
      </w:r>
    </w:p>
    <w:p>
      <w:pPr>
        <w:pStyle w:val="ListParagraph"/>
        <w:numPr>
          <w:ilvl w:val="0"/>
          <w:numId w:val="2"/>
        </w:numPr>
        <w:spacing w:after="40"/>
      </w:pPr>
      <w:r>
        <w:rPr>
          <w:rFonts w:ascii="Arial" w:cs="Arial" w:eastAsia="Arial" w:hAnsi="Arial"/>
          <w:color w:val="333333"/>
          <w:sz w:val="20"/>
          <w:szCs w:val="20"/>
        </w:rPr>
        <w:t xml:space="preserve">Orange bags: anatomical waste and items contaminated with body fluids for alternative treatment.</w:t>
      </w:r>
    </w:p>
    <w:p>
      <w:pPr>
        <w:pStyle w:val="ListParagraph"/>
        <w:numPr>
          <w:ilvl w:val="0"/>
          <w:numId w:val="2"/>
        </w:numPr>
        <w:spacing w:after="40"/>
      </w:pPr>
      <w:r>
        <w:rPr>
          <w:rFonts w:ascii="Arial" w:cs="Arial" w:eastAsia="Arial" w:hAnsi="Arial"/>
          <w:color w:val="333333"/>
          <w:sz w:val="20"/>
          <w:szCs w:val="20"/>
        </w:rPr>
        <w:t xml:space="preserve">Yellow sharps containers (BS 7320 compliant): needles, burs, matrix bands, endodontic files – at point of use, not filled beyond the fill line.</w:t>
      </w:r>
    </w:p>
    <w:p>
      <w:pPr>
        <w:pStyle w:val="ListParagraph"/>
        <w:numPr>
          <w:ilvl w:val="0"/>
          <w:numId w:val="2"/>
        </w:numPr>
        <w:spacing w:after="40"/>
      </w:pPr>
      <w:r>
        <w:rPr>
          <w:rFonts w:ascii="Arial" w:cs="Arial" w:eastAsia="Arial" w:hAnsi="Arial"/>
          <w:color w:val="333333"/>
          <w:sz w:val="20"/>
          <w:szCs w:val="20"/>
        </w:rPr>
        <w:t xml:space="preserve">Purple containers: cytotoxic/cytostatic waste (where applicable).</w:t>
      </w:r>
    </w:p>
    <w:p>
      <w:pPr>
        <w:pStyle w:val="ListParagraph"/>
        <w:numPr>
          <w:ilvl w:val="0"/>
          <w:numId w:val="2"/>
        </w:numPr>
        <w:spacing w:after="40"/>
      </w:pPr>
      <w:r>
        <w:rPr>
          <w:rFonts w:ascii="Arial" w:cs="Arial" w:eastAsia="Arial" w:hAnsi="Arial"/>
          <w:color w:val="333333"/>
          <w:sz w:val="20"/>
          <w:szCs w:val="20"/>
        </w:rPr>
        <w:t xml:space="preserve">Black bags: domestic/non-clinical waste only.</w:t>
      </w:r>
    </w:p>
    <w:p>
      <w:pPr>
        <w:pStyle w:val="ListParagraph"/>
        <w:numPr>
          <w:ilvl w:val="0"/>
          <w:numId w:val="2"/>
        </w:numPr>
        <w:spacing w:after="40"/>
      </w:pPr>
      <w:r>
        <w:rPr>
          <w:rFonts w:ascii="Arial" w:cs="Arial" w:eastAsia="Arial" w:hAnsi="Arial"/>
          <w:color w:val="333333"/>
          <w:sz w:val="20"/>
          <w:szCs w:val="20"/>
        </w:rPr>
        <w:t xml:space="preserve">Amalgam waste: stored in sealed containers with fixative (see separate Amalgam &amp; Mercury Handling Policy).</w:t>
      </w:r>
    </w:p>
    <w:p>
      <w:pPr>
        <w:spacing w:after="80"/>
      </w:pPr>
      <w:r>
        <w:rPr>
          <w:rFonts w:ascii="Arial" w:cs="Arial" w:eastAsia="Arial" w:hAnsi="Arial"/>
          <w:color w:val="333333"/>
          <w:sz w:val="20"/>
          <w:szCs w:val="20"/>
        </w:rPr>
        <w:t xml:space="preserve">A licensed waste contractor shall collect clinical waste at agreed intervals. Consignment notes and duty of care waste transfer notes shall be retained for a minimum of 3 years (hazardous) and 2 years (non-hazardous).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10. CLEANING &amp; ENVIRONMENTAL DECONTAMINATION</w:t>
      </w:r>
    </w:p>
    <w:p>
      <w:pPr>
        <w:spacing w:after="80"/>
      </w:pPr>
      <w:r>
        <w:rPr>
          <w:rFonts w:ascii="Arial" w:cs="Arial" w:eastAsia="Arial" w:hAnsi="Arial"/>
          <w:color w:val="333333"/>
          <w:sz w:val="20"/>
          <w:szCs w:val="20"/>
        </w:rPr>
        <w:t xml:space="preserve">A documented cleaning schedule shall be maintained for all clinical and non-clinical areas. Surgeries shall be cleaned between patients using a hospital-grade EN 14476-compliant surface disinfectant. High-touch surfaces (light handles, bracket table, chair controls, computer keyboard/mouse) shall be barrier-protected or disinfected between patients. End-of-day deep cleaning shall include floors, all surfaces, and equipment. Cleaning shall be audited monthly using a visual and ATP bioluminescence-based system where available.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11. SHARPS INJURY MANAGEMENT</w:t>
      </w:r>
    </w:p>
    <w:p>
      <w:pPr>
        <w:spacing w:after="80"/>
      </w:pPr>
      <w:r>
        <w:rPr>
          <w:rFonts w:ascii="Arial" w:cs="Arial" w:eastAsia="Arial" w:hAnsi="Arial"/>
          <w:color w:val="333333"/>
          <w:sz w:val="20"/>
          <w:szCs w:val="20"/>
        </w:rPr>
        <w:t xml:space="preserve">In the event of a sharps injury, the following protocol shall be followed:</w:t>
      </w:r>
    </w:p>
    <w:p>
      <w:pPr>
        <w:pStyle w:val="ListParagraph"/>
        <w:numPr>
          <w:ilvl w:val="0"/>
          <w:numId w:val="3"/>
        </w:numPr>
        <w:spacing w:after="40"/>
      </w:pPr>
      <w:r>
        <w:rPr>
          <w:rFonts w:ascii="Arial" w:cs="Arial" w:eastAsia="Arial" w:hAnsi="Arial"/>
          <w:color w:val="333333"/>
          <w:sz w:val="20"/>
          <w:szCs w:val="20"/>
        </w:rPr>
        <w:t xml:space="preserve">Encourage free bleeding of the wound – do not suck.</w:t>
      </w:r>
    </w:p>
    <w:p>
      <w:pPr>
        <w:pStyle w:val="ListParagraph"/>
        <w:numPr>
          <w:ilvl w:val="0"/>
          <w:numId w:val="3"/>
        </w:numPr>
        <w:spacing w:after="40"/>
      </w:pPr>
      <w:r>
        <w:rPr>
          <w:rFonts w:ascii="Arial" w:cs="Arial" w:eastAsia="Arial" w:hAnsi="Arial"/>
          <w:color w:val="333333"/>
          <w:sz w:val="20"/>
          <w:szCs w:val="20"/>
        </w:rPr>
        <w:t xml:space="preserve">Wash thoroughly under running water with soap.</w:t>
      </w:r>
    </w:p>
    <w:p>
      <w:pPr>
        <w:pStyle w:val="ListParagraph"/>
        <w:numPr>
          <w:ilvl w:val="0"/>
          <w:numId w:val="3"/>
        </w:numPr>
        <w:spacing w:after="40"/>
      </w:pPr>
      <w:r>
        <w:rPr>
          <w:rFonts w:ascii="Arial" w:cs="Arial" w:eastAsia="Arial" w:hAnsi="Arial"/>
          <w:color w:val="333333"/>
          <w:sz w:val="20"/>
          <w:szCs w:val="20"/>
        </w:rPr>
        <w:t xml:space="preserve">Cover with a waterproof dressing.</w:t>
      </w:r>
    </w:p>
    <w:p>
      <w:pPr>
        <w:pStyle w:val="ListParagraph"/>
        <w:numPr>
          <w:ilvl w:val="0"/>
          <w:numId w:val="3"/>
        </w:numPr>
        <w:spacing w:after="40"/>
      </w:pPr>
      <w:r>
        <w:rPr>
          <w:rFonts w:ascii="Arial" w:cs="Arial" w:eastAsia="Arial" w:hAnsi="Arial"/>
          <w:color w:val="333333"/>
          <w:sz w:val="20"/>
          <w:szCs w:val="20"/>
        </w:rPr>
        <w:t xml:space="preserve">Report immediately to the IPC Lead / Practice Manager.</w:t>
      </w:r>
    </w:p>
    <w:p>
      <w:pPr>
        <w:pStyle w:val="ListParagraph"/>
        <w:numPr>
          <w:ilvl w:val="0"/>
          <w:numId w:val="3"/>
        </w:numPr>
        <w:spacing w:after="40"/>
      </w:pPr>
      <w:r>
        <w:rPr>
          <w:rFonts w:ascii="Arial" w:cs="Arial" w:eastAsia="Arial" w:hAnsi="Arial"/>
          <w:color w:val="333333"/>
          <w:sz w:val="20"/>
          <w:szCs w:val="20"/>
        </w:rPr>
        <w:t xml:space="preserve">Complete an incident report form.</w:t>
      </w:r>
    </w:p>
    <w:p>
      <w:pPr>
        <w:pStyle w:val="ListParagraph"/>
        <w:numPr>
          <w:ilvl w:val="0"/>
          <w:numId w:val="3"/>
        </w:numPr>
        <w:spacing w:after="40"/>
      </w:pPr>
      <w:r>
        <w:rPr>
          <w:rFonts w:ascii="Arial" w:cs="Arial" w:eastAsia="Arial" w:hAnsi="Arial"/>
          <w:color w:val="333333"/>
          <w:sz w:val="20"/>
          <w:szCs w:val="20"/>
        </w:rPr>
        <w:t xml:space="preserve">Attend A&amp;E or Occupational Health for risk assessment and PEP consideration within 1 hour.</w:t>
      </w:r>
    </w:p>
    <w:p>
      <w:pPr>
        <w:pStyle w:val="ListParagraph"/>
        <w:numPr>
          <w:ilvl w:val="0"/>
          <w:numId w:val="3"/>
        </w:numPr>
        <w:spacing w:after="40"/>
      </w:pPr>
      <w:r>
        <w:rPr>
          <w:rFonts w:ascii="Arial" w:cs="Arial" w:eastAsia="Arial" w:hAnsi="Arial"/>
          <w:color w:val="333333"/>
          <w:sz w:val="20"/>
          <w:szCs w:val="20"/>
        </w:rPr>
        <w:t xml:space="preserve">Report to RIDDOR if the injury is work-related and involves a known or suspected blood-borne virus.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12. OUTBREAK MANAGEMENT</w:t>
      </w:r>
    </w:p>
    <w:p>
      <w:pPr>
        <w:spacing w:after="80"/>
      </w:pPr>
      <w:r>
        <w:rPr>
          <w:rFonts w:ascii="Arial" w:cs="Arial" w:eastAsia="Arial" w:hAnsi="Arial"/>
          <w:color w:val="333333"/>
          <w:sz w:val="20"/>
          <w:szCs w:val="20"/>
        </w:rPr>
        <w:t xml:space="preserve">In the event of a suspected infection outbreak (two or more linked cases of the same infection among patients or staff), the IPC Lead shall immediately notify the local Health Protection Team (UKHSA), isolate affected areas, conduct an investigation, and implement enhanced cleaning and IPC measures. A record of the outbreak, investigation, and actions taken shall be maintained and reported to CQC.</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13. TRAINING</w:t>
      </w:r>
    </w:p>
    <w:p>
      <w:pPr>
        <w:spacing w:after="80"/>
      </w:pPr>
      <w:r>
        <w:rPr>
          <w:rFonts w:ascii="Arial" w:cs="Arial" w:eastAsia="Arial" w:hAnsi="Arial"/>
          <w:color w:val="333333"/>
          <w:sz w:val="20"/>
          <w:szCs w:val="20"/>
        </w:rPr>
        <w:t xml:space="preserve">All staff shall receive IPC training at induction, with mandatory annual refresher training covering hand hygiene, PPE use, decontamination, waste management, and sharps safety. The IPC Lead shall maintain a training matrix and ensure compliance. Training shall be aligned to Skills for Health IPC Core Competencies.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14. MONITORING &amp; AUDIT</w:t>
      </w:r>
    </w:p>
    <w:p>
      <w:pPr>
        <w:pStyle w:val="ListParagraph"/>
        <w:numPr>
          <w:ilvl w:val="0"/>
          <w:numId w:val="2"/>
        </w:numPr>
        <w:spacing w:after="40"/>
      </w:pPr>
      <w:r>
        <w:rPr>
          <w:rFonts w:ascii="Arial" w:cs="Arial" w:eastAsia="Arial" w:hAnsi="Arial"/>
          <w:color w:val="333333"/>
          <w:sz w:val="20"/>
          <w:szCs w:val="20"/>
        </w:rPr>
        <w:t xml:space="preserve">Quarterly IPC audit using the Dental IPC Audit Tool (or CQC-aligned equivalent).</w:t>
      </w:r>
    </w:p>
    <w:p>
      <w:pPr>
        <w:pStyle w:val="ListParagraph"/>
        <w:numPr>
          <w:ilvl w:val="0"/>
          <w:numId w:val="2"/>
        </w:numPr>
        <w:spacing w:after="40"/>
      </w:pPr>
      <w:r>
        <w:rPr>
          <w:rFonts w:ascii="Arial" w:cs="Arial" w:eastAsia="Arial" w:hAnsi="Arial"/>
          <w:color w:val="333333"/>
          <w:sz w:val="20"/>
          <w:szCs w:val="20"/>
        </w:rPr>
        <w:t xml:space="preserve">Monthly hand hygiene compliance audit.</w:t>
      </w:r>
    </w:p>
    <w:p>
      <w:pPr>
        <w:pStyle w:val="ListParagraph"/>
        <w:numPr>
          <w:ilvl w:val="0"/>
          <w:numId w:val="2"/>
        </w:numPr>
        <w:spacing w:after="40"/>
      </w:pPr>
      <w:r>
        <w:rPr>
          <w:rFonts w:ascii="Arial" w:cs="Arial" w:eastAsia="Arial" w:hAnsi="Arial"/>
          <w:color w:val="333333"/>
          <w:sz w:val="20"/>
          <w:szCs w:val="20"/>
        </w:rPr>
        <w:t xml:space="preserve">Quarterly DUWL microbiological sampling.</w:t>
      </w:r>
    </w:p>
    <w:p>
      <w:pPr>
        <w:pStyle w:val="ListParagraph"/>
        <w:numPr>
          <w:ilvl w:val="0"/>
          <w:numId w:val="2"/>
        </w:numPr>
        <w:spacing w:after="40"/>
      </w:pPr>
      <w:r>
        <w:rPr>
          <w:rFonts w:ascii="Arial" w:cs="Arial" w:eastAsia="Arial" w:hAnsi="Arial"/>
          <w:color w:val="333333"/>
          <w:sz w:val="20"/>
          <w:szCs w:val="20"/>
        </w:rPr>
        <w:t xml:space="preserve">Annual external IPC review/peer audit where practicable.</w:t>
      </w:r>
    </w:p>
    <w:p>
      <w:pPr>
        <w:pStyle w:val="ListParagraph"/>
        <w:numPr>
          <w:ilvl w:val="0"/>
          <w:numId w:val="2"/>
        </w:numPr>
        <w:spacing w:after="40"/>
      </w:pPr>
      <w:r>
        <w:rPr>
          <w:rFonts w:ascii="Arial" w:cs="Arial" w:eastAsia="Arial" w:hAnsi="Arial"/>
          <w:color w:val="333333"/>
          <w:sz w:val="20"/>
          <w:szCs w:val="20"/>
        </w:rPr>
        <w:t xml:space="preserve">Audit results and action plans discussed at practice meetings and documented.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15. REVIEW</w:t>
      </w:r>
    </w:p>
    <w:p>
      <w:pPr>
        <w:spacing w:after="80"/>
      </w:pPr>
      <w:r>
        <w:rPr>
          <w:rFonts w:ascii="Arial" w:cs="Arial" w:eastAsia="Arial" w:hAnsi="Arial"/>
          <w:color w:val="333333"/>
          <w:sz w:val="20"/>
          <w:szCs w:val="20"/>
        </w:rPr>
        <w:t xml:space="preserve">This policy shall be reviewed annually, or sooner following a significant incident, change in legislation, updated guidance, or CQC inspection findings. The review date, reviewer, and any amendments shall be recorded in the version control table below.</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BS-POL-DENT-001 – Infection Prevention &amp; Control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2026-05-15T11:49:03.149Z</dcterms:created>
  <dcterms:modified xsi:type="dcterms:W3CDTF">2026-05-15T11:49:03.165Z</dcterms:modified>
</cp:coreProperties>
</file>

<file path=docProps/custom.xml><?xml version="1.0" encoding="utf-8"?>
<Properties xmlns="http://schemas.openxmlformats.org/officeDocument/2006/custom-properties" xmlns:vt="http://schemas.openxmlformats.org/officeDocument/2006/docPropsVTypes"/>
</file>