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DENTAL PRACTICE POLICY</w:t>
      </w:r>
    </w:p>
    <w:p>
      <w:pPr>
        <w:spacing w:after="100"/>
        <w:jc w:val="center"/>
      </w:pPr>
      <w:r>
        <w:rPr>
          <w:rFonts w:ascii="Arial" w:cs="Arial" w:eastAsia="Arial" w:hAnsi="Arial"/>
          <w:b/>
          <w:bCs/>
          <w:color w:val="D4AF37"/>
          <w:sz w:val="28"/>
          <w:szCs w:val="28"/>
        </w:rPr>
        <w:t xml:space="preserve">Medical Emergencies Policy</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BS-POL-DENT-004</w:t>
      </w:r>
    </w:p>
    <w:p>
      <w:pPr>
        <w:spacing w:after="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spacing w:after="60"/>
      </w:pPr>
      <w:r>
        <w:rPr>
          <w:rFonts w:ascii="Arial" w:cs="Arial" w:eastAsia="Arial" w:hAnsi="Arial"/>
          <w:b/>
          <w:bCs/>
          <w:color w:val="0B1D3A"/>
          <w:sz w:val="20"/>
          <w:szCs w:val="20"/>
        </w:rPr>
        <w:t xml:space="preserve">Effective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[Insert Date + 12 months]</w:t>
      </w:r>
    </w:p>
    <w:p>
      <w:pPr>
        <w:spacing w:after="60"/>
      </w:pPr>
      <w:r>
        <w:rPr>
          <w:rFonts w:ascii="Arial" w:cs="Arial" w:eastAsia="Arial" w:hAnsi="Arial"/>
          <w:b/>
          <w:bCs/>
          <w:color w:val="0B1D3A"/>
          <w:sz w:val="20"/>
          <w:szCs w:val="20"/>
        </w:rPr>
        <w:t xml:space="preserve">Policy Owner: </w:t>
      </w:r>
      <w:r>
        <w:rPr>
          <w:rFonts w:ascii="Arial" w:cs="Arial" w:eastAsia="Arial" w:hAnsi="Arial"/>
          <w:color w:val="333333"/>
          <w:sz w:val="20"/>
          <w:szCs w:val="20"/>
        </w:rPr>
        <w:t xml:space="preserve">[Insert Name / Practice Manager]</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80"/>
      </w:pPr>
      <w:r>
        <w:rPr>
          <w:rFonts w:ascii="Arial" w:cs="Arial" w:eastAsia="Arial" w:hAnsi="Arial"/>
          <w:color w:val="333333"/>
          <w:sz w:val="20"/>
          <w:szCs w:val="20"/>
        </w:rPr>
        <w:t xml:space="preserve">This policy ensures the practice is prepared to manage medical emergencies effectively, in accordance with the Resuscitation Council UK Guidelines, GDC Standards for the Dental Team (Standard 1.5), CQC Fundamental Standards (Regulation 12), and the Health and Safety (First-Aid) Regulations 1981.</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80"/>
      </w:pPr>
      <w:r>
        <w:rPr>
          <w:rFonts w:ascii="Arial" w:cs="Arial" w:eastAsia="Arial" w:hAnsi="Arial"/>
          <w:color w:val="333333"/>
          <w:sz w:val="20"/>
          <w:szCs w:val="20"/>
        </w:rPr>
        <w:t xml:space="preserve">This policy applies to all staff and covers all medical emergencies that may occur on practice premises, including during dental treatment, in the waiting area, or elsewhere on site.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RELEVANT LEGISLATION &amp; GUIDANCE</w:t>
      </w:r>
    </w:p>
    <w:p>
      <w:pPr>
        <w:pStyle w:val="ListParagraph"/>
        <w:numPr>
          <w:ilvl w:val="0"/>
          <w:numId w:val="2"/>
        </w:numPr>
        <w:spacing w:after="40"/>
      </w:pPr>
      <w:r>
        <w:rPr>
          <w:rFonts w:ascii="Arial" w:cs="Arial" w:eastAsia="Arial" w:hAnsi="Arial"/>
          <w:color w:val="333333"/>
          <w:sz w:val="20"/>
          <w:szCs w:val="20"/>
        </w:rPr>
        <w:t xml:space="preserve">Health and Safety at Work etc. Act 1974</w:t>
      </w:r>
    </w:p>
    <w:p>
      <w:pPr>
        <w:pStyle w:val="ListParagraph"/>
        <w:numPr>
          <w:ilvl w:val="0"/>
          <w:numId w:val="2"/>
        </w:numPr>
        <w:spacing w:after="40"/>
      </w:pPr>
      <w:r>
        <w:rPr>
          <w:rFonts w:ascii="Arial" w:cs="Arial" w:eastAsia="Arial" w:hAnsi="Arial"/>
          <w:color w:val="333333"/>
          <w:sz w:val="20"/>
          <w:szCs w:val="20"/>
        </w:rPr>
        <w:t xml:space="preserve">Health and Safety (First-Aid) Regulations 1981 (SI 1981/917)</w:t>
      </w:r>
    </w:p>
    <w:p>
      <w:pPr>
        <w:pStyle w:val="ListParagraph"/>
        <w:numPr>
          <w:ilvl w:val="0"/>
          <w:numId w:val="2"/>
        </w:numPr>
        <w:spacing w:after="40"/>
      </w:pPr>
      <w:r>
        <w:rPr>
          <w:rFonts w:ascii="Arial" w:cs="Arial" w:eastAsia="Arial" w:hAnsi="Arial"/>
          <w:color w:val="333333"/>
          <w:sz w:val="20"/>
          <w:szCs w:val="20"/>
        </w:rPr>
        <w:t xml:space="preserve">CQC Fundamental Standards – Regulation 12 (Safe Care and Treatment)</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1.5</w:t>
      </w:r>
    </w:p>
    <w:p>
      <w:pPr>
        <w:pStyle w:val="ListParagraph"/>
        <w:numPr>
          <w:ilvl w:val="0"/>
          <w:numId w:val="2"/>
        </w:numPr>
        <w:spacing w:after="40"/>
      </w:pPr>
      <w:r>
        <w:rPr>
          <w:rFonts w:ascii="Arial" w:cs="Arial" w:eastAsia="Arial" w:hAnsi="Arial"/>
          <w:color w:val="333333"/>
          <w:sz w:val="20"/>
          <w:szCs w:val="20"/>
        </w:rPr>
        <w:t xml:space="preserve">Resuscitation Council UK Guidelines (current edition)</w:t>
      </w:r>
    </w:p>
    <w:p>
      <w:pPr>
        <w:pStyle w:val="ListParagraph"/>
        <w:numPr>
          <w:ilvl w:val="0"/>
          <w:numId w:val="2"/>
        </w:numPr>
        <w:spacing w:after="40"/>
      </w:pPr>
      <w:r>
        <w:rPr>
          <w:rFonts w:ascii="Arial" w:cs="Arial" w:eastAsia="Arial" w:hAnsi="Arial"/>
          <w:color w:val="333333"/>
          <w:sz w:val="20"/>
          <w:szCs w:val="20"/>
        </w:rPr>
        <w:t xml:space="preserve">British National Formulary (BNF) – Emergency Drugs in Dental Practice</w:t>
      </w:r>
    </w:p>
    <w:p>
      <w:pPr>
        <w:pStyle w:val="ListParagraph"/>
        <w:numPr>
          <w:ilvl w:val="0"/>
          <w:numId w:val="2"/>
        </w:numPr>
        <w:spacing w:after="40"/>
      </w:pPr>
      <w:r>
        <w:rPr>
          <w:rFonts w:ascii="Arial" w:cs="Arial" w:eastAsia="Arial" w:hAnsi="Arial"/>
          <w:color w:val="333333"/>
          <w:sz w:val="20"/>
          <w:szCs w:val="20"/>
        </w:rPr>
        <w:t xml:space="preserve">NICE CG134: Anaphylaxis: Assessment and Referral</w:t>
      </w:r>
    </w:p>
    <w:p>
      <w:pPr>
        <w:pStyle w:val="ListParagraph"/>
        <w:numPr>
          <w:ilvl w:val="0"/>
          <w:numId w:val="2"/>
        </w:numPr>
        <w:spacing w:after="40"/>
      </w:pPr>
      <w:r>
        <w:rPr>
          <w:rFonts w:ascii="Arial" w:cs="Arial" w:eastAsia="Arial" w:hAnsi="Arial"/>
          <w:color w:val="333333"/>
          <w:sz w:val="20"/>
          <w:szCs w:val="20"/>
        </w:rPr>
        <w:t xml:space="preserve">Reporting of Injuries, Diseases and Dangerous Occurrences Regulations 2013 (RIDDOR) (SI 2013/1471)</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EMERGENCY DRUGS &amp; EQUIPMENT</w:t>
      </w:r>
    </w:p>
    <w:p>
      <w:pPr>
        <w:spacing w:after="80" w:before="200"/>
      </w:pPr>
      <w:r>
        <w:rPr>
          <w:rFonts w:ascii="Arial" w:cs="Arial" w:eastAsia="Arial" w:hAnsi="Arial"/>
          <w:b/>
          <w:bCs/>
          <w:color w:val="0B1D3A"/>
          <w:sz w:val="22"/>
          <w:szCs w:val="22"/>
        </w:rPr>
        <w:t xml:space="preserve">4.1 Emergency Drug Kit Contents (per Resuscitation Council UK / BNF)</w:t>
      </w:r>
    </w:p>
    <w:p>
      <w:pPr>
        <w:pStyle w:val="ListParagraph"/>
        <w:numPr>
          <w:ilvl w:val="0"/>
          <w:numId w:val="2"/>
        </w:numPr>
        <w:spacing w:after="40"/>
      </w:pPr>
      <w:r>
        <w:rPr>
          <w:rFonts w:ascii="Arial" w:cs="Arial" w:eastAsia="Arial" w:hAnsi="Arial"/>
          <w:color w:val="333333"/>
          <w:sz w:val="20"/>
          <w:szCs w:val="20"/>
        </w:rPr>
        <w:t xml:space="preserve">Adrenaline 1:1000 (1mg/ml) – IM injection for anaphylaxis (adult: 500mcg, child 6–12: 300mcg, child &lt;6: 150mcg)</w:t>
      </w:r>
    </w:p>
    <w:p>
      <w:pPr>
        <w:pStyle w:val="ListParagraph"/>
        <w:numPr>
          <w:ilvl w:val="0"/>
          <w:numId w:val="2"/>
        </w:numPr>
        <w:spacing w:after="40"/>
      </w:pPr>
      <w:r>
        <w:rPr>
          <w:rFonts w:ascii="Arial" w:cs="Arial" w:eastAsia="Arial" w:hAnsi="Arial"/>
          <w:color w:val="333333"/>
          <w:sz w:val="20"/>
          <w:szCs w:val="20"/>
        </w:rPr>
        <w:t xml:space="preserve">Midazolam oromucosal solution (buccal) – for prolonged seizures</w:t>
      </w:r>
    </w:p>
    <w:p>
      <w:pPr>
        <w:pStyle w:val="ListParagraph"/>
        <w:numPr>
          <w:ilvl w:val="0"/>
          <w:numId w:val="2"/>
        </w:numPr>
        <w:spacing w:after="40"/>
      </w:pPr>
      <w:r>
        <w:rPr>
          <w:rFonts w:ascii="Arial" w:cs="Arial" w:eastAsia="Arial" w:hAnsi="Arial"/>
          <w:color w:val="333333"/>
          <w:sz w:val="20"/>
          <w:szCs w:val="20"/>
        </w:rPr>
        <w:t xml:space="preserve">Glyceryl trinitrate (GTN) spray 400mcg/dose – for angina / acute coronary syndrome</w:t>
      </w:r>
    </w:p>
    <w:p>
      <w:pPr>
        <w:pStyle w:val="ListParagraph"/>
        <w:numPr>
          <w:ilvl w:val="0"/>
          <w:numId w:val="2"/>
        </w:numPr>
        <w:spacing w:after="40"/>
      </w:pPr>
      <w:r>
        <w:rPr>
          <w:rFonts w:ascii="Arial" w:cs="Arial" w:eastAsia="Arial" w:hAnsi="Arial"/>
          <w:color w:val="333333"/>
          <w:sz w:val="20"/>
          <w:szCs w:val="20"/>
        </w:rPr>
        <w:t xml:space="preserve">Salbutamol inhaler 100mcg/dose + spacer device – for asthma</w:t>
      </w:r>
    </w:p>
    <w:p>
      <w:pPr>
        <w:pStyle w:val="ListParagraph"/>
        <w:numPr>
          <w:ilvl w:val="0"/>
          <w:numId w:val="2"/>
        </w:numPr>
        <w:spacing w:after="40"/>
      </w:pPr>
      <w:r>
        <w:rPr>
          <w:rFonts w:ascii="Arial" w:cs="Arial" w:eastAsia="Arial" w:hAnsi="Arial"/>
          <w:color w:val="333333"/>
          <w:sz w:val="20"/>
          <w:szCs w:val="20"/>
        </w:rPr>
        <w:t xml:space="preserve">Aspirin 300mg dispersible tablets – for suspected myocardial infarction</w:t>
      </w:r>
    </w:p>
    <w:p>
      <w:pPr>
        <w:pStyle w:val="ListParagraph"/>
        <w:numPr>
          <w:ilvl w:val="0"/>
          <w:numId w:val="2"/>
        </w:numPr>
        <w:spacing w:after="40"/>
      </w:pPr>
      <w:r>
        <w:rPr>
          <w:rFonts w:ascii="Arial" w:cs="Arial" w:eastAsia="Arial" w:hAnsi="Arial"/>
          <w:color w:val="333333"/>
          <w:sz w:val="20"/>
          <w:szCs w:val="20"/>
        </w:rPr>
        <w:t xml:space="preserve">Oral glucose gel/tablets – for hypoglycaemia</w:t>
      </w:r>
    </w:p>
    <w:p>
      <w:pPr>
        <w:pStyle w:val="ListParagraph"/>
        <w:numPr>
          <w:ilvl w:val="0"/>
          <w:numId w:val="2"/>
        </w:numPr>
        <w:spacing w:after="40"/>
      </w:pPr>
      <w:r>
        <w:rPr>
          <w:rFonts w:ascii="Arial" w:cs="Arial" w:eastAsia="Arial" w:hAnsi="Arial"/>
          <w:color w:val="333333"/>
          <w:sz w:val="20"/>
          <w:szCs w:val="20"/>
        </w:rPr>
        <w:t xml:space="preserve">Glucagon 1mg IM – for severe hypoglycaemia (unconscious patient)</w:t>
      </w:r>
    </w:p>
    <w:p>
      <w:pPr>
        <w:spacing w:after="80" w:before="200"/>
      </w:pPr>
      <w:r>
        <w:rPr>
          <w:rFonts w:ascii="Arial" w:cs="Arial" w:eastAsia="Arial" w:hAnsi="Arial"/>
          <w:b/>
          <w:bCs/>
          <w:color w:val="0B1D3A"/>
          <w:sz w:val="22"/>
          <w:szCs w:val="22"/>
        </w:rPr>
        <w:t xml:space="preserve">4.2 Emergency Equipment</w:t>
      </w:r>
    </w:p>
    <w:p>
      <w:pPr>
        <w:pStyle w:val="ListParagraph"/>
        <w:numPr>
          <w:ilvl w:val="0"/>
          <w:numId w:val="2"/>
        </w:numPr>
        <w:spacing w:after="40"/>
      </w:pPr>
      <w:r>
        <w:rPr>
          <w:rFonts w:ascii="Arial" w:cs="Arial" w:eastAsia="Arial" w:hAnsi="Arial"/>
          <w:color w:val="333333"/>
          <w:sz w:val="20"/>
          <w:szCs w:val="20"/>
        </w:rPr>
        <w:t xml:space="preserve">Automated External Defibrillator (AED) – checked weekly, pads within expiry date</w:t>
      </w:r>
    </w:p>
    <w:p>
      <w:pPr>
        <w:pStyle w:val="ListParagraph"/>
        <w:numPr>
          <w:ilvl w:val="0"/>
          <w:numId w:val="2"/>
        </w:numPr>
        <w:spacing w:after="40"/>
      </w:pPr>
      <w:r>
        <w:rPr>
          <w:rFonts w:ascii="Arial" w:cs="Arial" w:eastAsia="Arial" w:hAnsi="Arial"/>
          <w:color w:val="333333"/>
          <w:sz w:val="20"/>
          <w:szCs w:val="20"/>
        </w:rPr>
        <w:t xml:space="preserve">Portable oxygen cylinder (D-size minimum) with non-rebreather mask (adult &amp; paediatric) and self-inflating bag-valve-mask</w:t>
      </w:r>
    </w:p>
    <w:p>
      <w:pPr>
        <w:pStyle w:val="ListParagraph"/>
        <w:numPr>
          <w:ilvl w:val="0"/>
          <w:numId w:val="2"/>
        </w:numPr>
        <w:spacing w:after="40"/>
      </w:pPr>
      <w:r>
        <w:rPr>
          <w:rFonts w:ascii="Arial" w:cs="Arial" w:eastAsia="Arial" w:hAnsi="Arial"/>
          <w:color w:val="333333"/>
          <w:sz w:val="20"/>
          <w:szCs w:val="20"/>
        </w:rPr>
        <w:t xml:space="preserve">Oropharyngeal (Guedel) airways (sizes 0–4)</w:t>
      </w:r>
    </w:p>
    <w:p>
      <w:pPr>
        <w:pStyle w:val="ListParagraph"/>
        <w:numPr>
          <w:ilvl w:val="0"/>
          <w:numId w:val="2"/>
        </w:numPr>
        <w:spacing w:after="40"/>
      </w:pPr>
      <w:r>
        <w:rPr>
          <w:rFonts w:ascii="Arial" w:cs="Arial" w:eastAsia="Arial" w:hAnsi="Arial"/>
          <w:color w:val="333333"/>
          <w:sz w:val="20"/>
          <w:szCs w:val="20"/>
        </w:rPr>
        <w:t xml:space="preserve">Portable suction with Yankauer tips</w:t>
      </w:r>
    </w:p>
    <w:p>
      <w:pPr>
        <w:pStyle w:val="ListParagraph"/>
        <w:numPr>
          <w:ilvl w:val="0"/>
          <w:numId w:val="2"/>
        </w:numPr>
        <w:spacing w:after="40"/>
      </w:pPr>
      <w:r>
        <w:rPr>
          <w:rFonts w:ascii="Arial" w:cs="Arial" w:eastAsia="Arial" w:hAnsi="Arial"/>
          <w:color w:val="333333"/>
          <w:sz w:val="20"/>
          <w:szCs w:val="20"/>
        </w:rPr>
        <w:t xml:space="preserve">Blood pressure monitor and pulse oximeter</w:t>
      </w:r>
    </w:p>
    <w:p>
      <w:pPr>
        <w:pStyle w:val="ListParagraph"/>
        <w:numPr>
          <w:ilvl w:val="0"/>
          <w:numId w:val="2"/>
        </w:numPr>
        <w:spacing w:after="40"/>
      </w:pPr>
      <w:r>
        <w:rPr>
          <w:rFonts w:ascii="Arial" w:cs="Arial" w:eastAsia="Arial" w:hAnsi="Arial"/>
          <w:color w:val="333333"/>
          <w:sz w:val="20"/>
          <w:szCs w:val="20"/>
        </w:rPr>
        <w:t xml:space="preserve">Blood glucose meter with in-date test strips</w:t>
      </w:r>
    </w:p>
    <w:p>
      <w:pPr>
        <w:spacing w:after="80" w:before="200"/>
      </w:pPr>
      <w:r>
        <w:rPr>
          <w:rFonts w:ascii="Arial" w:cs="Arial" w:eastAsia="Arial" w:hAnsi="Arial"/>
          <w:b/>
          <w:bCs/>
          <w:color w:val="0B1D3A"/>
          <w:sz w:val="22"/>
          <w:szCs w:val="22"/>
        </w:rPr>
        <w:t xml:space="preserve">4.3 Checking &amp; Maintenance</w:t>
      </w:r>
    </w:p>
    <w:p>
      <w:pPr>
        <w:spacing w:after="80"/>
      </w:pPr>
      <w:r>
        <w:rPr>
          <w:rFonts w:ascii="Arial" w:cs="Arial" w:eastAsia="Arial" w:hAnsi="Arial"/>
          <w:color w:val="333333"/>
          <w:sz w:val="20"/>
          <w:szCs w:val="20"/>
        </w:rPr>
        <w:t xml:space="preserve">Emergency drugs and equipment shall be checked weekly by a designated staff member using a standardised checklist. Expiry dates shall be logged and items replaced before expiry. The checklist and log shall be kept in the Emergency Equipment Folder and available for CQC inspection.</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CORE EMERGENCY SCENARIOS &amp; PROTOCOLS</w:t>
      </w:r>
    </w:p>
    <w:p>
      <w:pPr>
        <w:spacing w:after="80"/>
      </w:pPr>
      <w:r>
        <w:rPr>
          <w:rFonts w:ascii="Arial" w:cs="Arial" w:eastAsia="Arial" w:hAnsi="Arial"/>
          <w:color w:val="333333"/>
          <w:sz w:val="20"/>
          <w:szCs w:val="20"/>
        </w:rPr>
        <w:t xml:space="preserve">The practice shall have documented protocols, displayed in each surgery, for the following core scenarios as required by GDC and Resuscitation Council UK:</w:t>
      </w:r>
    </w:p>
    <w:p>
      <w:pPr>
        <w:pStyle w:val="ListParagraph"/>
        <w:numPr>
          <w:ilvl w:val="0"/>
          <w:numId w:val="3"/>
        </w:numPr>
        <w:spacing w:after="40"/>
      </w:pPr>
      <w:r>
        <w:rPr>
          <w:rFonts w:ascii="Arial" w:cs="Arial" w:eastAsia="Arial" w:hAnsi="Arial"/>
          <w:color w:val="333333"/>
          <w:sz w:val="20"/>
          <w:szCs w:val="20"/>
        </w:rPr>
        <w:t xml:space="preserve">Anaphylaxis – Adrenaline IM, call 999, high-flow oxygen, position (flat with legs raised unless dyspnoeic), monitor.</w:t>
      </w:r>
    </w:p>
    <w:p>
      <w:pPr>
        <w:pStyle w:val="ListParagraph"/>
        <w:numPr>
          <w:ilvl w:val="0"/>
          <w:numId w:val="3"/>
        </w:numPr>
        <w:spacing w:after="40"/>
      </w:pPr>
      <w:r>
        <w:rPr>
          <w:rFonts w:ascii="Arial" w:cs="Arial" w:eastAsia="Arial" w:hAnsi="Arial"/>
          <w:color w:val="333333"/>
          <w:sz w:val="20"/>
          <w:szCs w:val="20"/>
        </w:rPr>
        <w:t xml:space="preserve">Cardiac arrest – Call 999, commence CPR (30:2), apply AED as soon as available, continue until advanced help arrives.</w:t>
      </w:r>
    </w:p>
    <w:p>
      <w:pPr>
        <w:pStyle w:val="ListParagraph"/>
        <w:numPr>
          <w:ilvl w:val="0"/>
          <w:numId w:val="3"/>
        </w:numPr>
        <w:spacing w:after="40"/>
      </w:pPr>
      <w:r>
        <w:rPr>
          <w:rFonts w:ascii="Arial" w:cs="Arial" w:eastAsia="Arial" w:hAnsi="Arial"/>
          <w:color w:val="333333"/>
          <w:sz w:val="20"/>
          <w:szCs w:val="20"/>
        </w:rPr>
        <w:t xml:space="preserve">Vasovagal syncope (faint) – Position supine, raise legs, loosen clothing, monitor consciousness, offer water on recovery.</w:t>
      </w:r>
    </w:p>
    <w:p>
      <w:pPr>
        <w:pStyle w:val="ListParagraph"/>
        <w:numPr>
          <w:ilvl w:val="0"/>
          <w:numId w:val="3"/>
        </w:numPr>
        <w:spacing w:after="40"/>
      </w:pPr>
      <w:r>
        <w:rPr>
          <w:rFonts w:ascii="Arial" w:cs="Arial" w:eastAsia="Arial" w:hAnsi="Arial"/>
          <w:color w:val="333333"/>
          <w:sz w:val="20"/>
          <w:szCs w:val="20"/>
        </w:rPr>
        <w:t xml:space="preserve">Epileptic seizure – Protect from injury, do not restrain, time the seizure, buccal midazolam if &gt;5 minutes, recovery position, call 999 if prolonged/first seizure.</w:t>
      </w:r>
    </w:p>
    <w:p>
      <w:pPr>
        <w:pStyle w:val="ListParagraph"/>
        <w:numPr>
          <w:ilvl w:val="0"/>
          <w:numId w:val="3"/>
        </w:numPr>
        <w:spacing w:after="40"/>
      </w:pPr>
      <w:r>
        <w:rPr>
          <w:rFonts w:ascii="Arial" w:cs="Arial" w:eastAsia="Arial" w:hAnsi="Arial"/>
          <w:color w:val="333333"/>
          <w:sz w:val="20"/>
          <w:szCs w:val="20"/>
        </w:rPr>
        <w:t xml:space="preserve">Hypoglycaemia – Conscious: oral glucose (15–20g fast-acting carbohydrate). Unconscious: glucagon IM 1mg, call 999, recovery position.</w:t>
      </w:r>
    </w:p>
    <w:p>
      <w:pPr>
        <w:pStyle w:val="ListParagraph"/>
        <w:numPr>
          <w:ilvl w:val="0"/>
          <w:numId w:val="3"/>
        </w:numPr>
        <w:spacing w:after="40"/>
      </w:pPr>
      <w:r>
        <w:rPr>
          <w:rFonts w:ascii="Arial" w:cs="Arial" w:eastAsia="Arial" w:hAnsi="Arial"/>
          <w:color w:val="333333"/>
          <w:sz w:val="20"/>
          <w:szCs w:val="20"/>
        </w:rPr>
        <w:t xml:space="preserve">Asthma attack – Sit upright, salbutamol via spacer (2 puffs, then 2 puffs every 2 minutes up to 10 puffs), high-flow oxygen, call 999 if no improvement.</w:t>
      </w:r>
    </w:p>
    <w:p>
      <w:pPr>
        <w:pStyle w:val="ListParagraph"/>
        <w:numPr>
          <w:ilvl w:val="0"/>
          <w:numId w:val="3"/>
        </w:numPr>
        <w:spacing w:after="40"/>
      </w:pPr>
      <w:r>
        <w:rPr>
          <w:rFonts w:ascii="Arial" w:cs="Arial" w:eastAsia="Arial" w:hAnsi="Arial"/>
          <w:color w:val="333333"/>
          <w:sz w:val="20"/>
          <w:szCs w:val="20"/>
        </w:rPr>
        <w:t xml:space="preserve">Angina / Myocardial infarction – GTN spray sublingual, aspirin 300mg chewed, call 999, oxygen if SpO2 &lt;94%.</w:t>
      </w:r>
    </w:p>
    <w:p>
      <w:pPr>
        <w:pStyle w:val="ListParagraph"/>
        <w:numPr>
          <w:ilvl w:val="0"/>
          <w:numId w:val="3"/>
        </w:numPr>
        <w:spacing w:after="40"/>
      </w:pPr>
      <w:r>
        <w:rPr>
          <w:rFonts w:ascii="Arial" w:cs="Arial" w:eastAsia="Arial" w:hAnsi="Arial"/>
          <w:color w:val="333333"/>
          <w:sz w:val="20"/>
          <w:szCs w:val="20"/>
        </w:rPr>
        <w:t xml:space="preserve">Choking / Aspiration of foreign body – Encourage coughing, up to 5 back blows, up to 5 abdominal thrusts, call 999 if obstruction not relieved; chest X-ray referral if object inhaled.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CALLING FOR HELP</w:t>
      </w:r>
    </w:p>
    <w:p>
      <w:pPr>
        <w:spacing w:after="80"/>
      </w:pPr>
      <w:r>
        <w:rPr>
          <w:rFonts w:ascii="Arial" w:cs="Arial" w:eastAsia="Arial" w:hAnsi="Arial"/>
          <w:color w:val="333333"/>
          <w:sz w:val="20"/>
          <w:szCs w:val="20"/>
        </w:rPr>
        <w:t xml:space="preserve">Emergency number (999) and full practice address (including postcode) shall be displayed by every telephone. All staff shall know the location of emergency drugs, AED, and oxygen. A designated staff member shall be allocated to call 999 and meet the ambulance at the door.</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TRAINING</w:t>
      </w:r>
    </w:p>
    <w:p>
      <w:pPr>
        <w:pStyle w:val="ListParagraph"/>
        <w:numPr>
          <w:ilvl w:val="0"/>
          <w:numId w:val="2"/>
        </w:numPr>
        <w:spacing w:after="40"/>
      </w:pPr>
      <w:r>
        <w:rPr>
          <w:rFonts w:ascii="Arial" w:cs="Arial" w:eastAsia="Arial" w:hAnsi="Arial"/>
          <w:color w:val="333333"/>
          <w:sz w:val="20"/>
          <w:szCs w:val="20"/>
        </w:rPr>
        <w:t xml:space="preserve">All clinical staff: BLS certification renewed annually (Resuscitation Council UK compliant).</w:t>
      </w:r>
    </w:p>
    <w:p>
      <w:pPr>
        <w:pStyle w:val="ListParagraph"/>
        <w:numPr>
          <w:ilvl w:val="0"/>
          <w:numId w:val="2"/>
        </w:numPr>
        <w:spacing w:after="40"/>
      </w:pPr>
      <w:r>
        <w:rPr>
          <w:rFonts w:ascii="Arial" w:cs="Arial" w:eastAsia="Arial" w:hAnsi="Arial"/>
          <w:color w:val="333333"/>
          <w:sz w:val="20"/>
          <w:szCs w:val="20"/>
        </w:rPr>
        <w:t xml:space="preserve">All staff (including reception): annual medical emergency simulation training covering the 8 core scenarios.</w:t>
      </w:r>
    </w:p>
    <w:p>
      <w:pPr>
        <w:pStyle w:val="ListParagraph"/>
        <w:numPr>
          <w:ilvl w:val="0"/>
          <w:numId w:val="2"/>
        </w:numPr>
        <w:spacing w:after="40"/>
      </w:pPr>
      <w:r>
        <w:rPr>
          <w:rFonts w:ascii="Arial" w:cs="Arial" w:eastAsia="Arial" w:hAnsi="Arial"/>
          <w:color w:val="333333"/>
          <w:sz w:val="20"/>
          <w:szCs w:val="20"/>
        </w:rPr>
        <w:t xml:space="preserve">Sedation practitioners: ILS certification (see separate Sedation Policy).</w:t>
      </w:r>
    </w:p>
    <w:p>
      <w:pPr>
        <w:pStyle w:val="ListParagraph"/>
        <w:numPr>
          <w:ilvl w:val="0"/>
          <w:numId w:val="2"/>
        </w:numPr>
        <w:spacing w:after="40"/>
      </w:pPr>
      <w:r>
        <w:rPr>
          <w:rFonts w:ascii="Arial" w:cs="Arial" w:eastAsia="Arial" w:hAnsi="Arial"/>
          <w:color w:val="333333"/>
          <w:sz w:val="20"/>
          <w:szCs w:val="20"/>
        </w:rPr>
        <w:t xml:space="preserve">Training records maintained in staff CPD files; compliance audited annually.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8. POST-INCIDENT PROCEDURE</w:t>
      </w:r>
    </w:p>
    <w:p>
      <w:pPr>
        <w:pStyle w:val="ListParagraph"/>
        <w:numPr>
          <w:ilvl w:val="0"/>
          <w:numId w:val="3"/>
        </w:numPr>
        <w:spacing w:after="40"/>
      </w:pPr>
      <w:r>
        <w:rPr>
          <w:rFonts w:ascii="Arial" w:cs="Arial" w:eastAsia="Arial" w:hAnsi="Arial"/>
          <w:color w:val="333333"/>
          <w:sz w:val="20"/>
          <w:szCs w:val="20"/>
        </w:rPr>
        <w:t xml:space="preserve">Complete an incident report form and record the event in the patient’s clinical notes.</w:t>
      </w:r>
    </w:p>
    <w:p>
      <w:pPr>
        <w:pStyle w:val="ListParagraph"/>
        <w:numPr>
          <w:ilvl w:val="0"/>
          <w:numId w:val="3"/>
        </w:numPr>
        <w:spacing w:after="40"/>
      </w:pPr>
      <w:r>
        <w:rPr>
          <w:rFonts w:ascii="Arial" w:cs="Arial" w:eastAsia="Arial" w:hAnsi="Arial"/>
          <w:color w:val="333333"/>
          <w:sz w:val="20"/>
          <w:szCs w:val="20"/>
        </w:rPr>
        <w:t xml:space="preserve">Conduct a debrief with involved staff (ideally within 24 hours).</w:t>
      </w:r>
    </w:p>
    <w:p>
      <w:pPr>
        <w:pStyle w:val="ListParagraph"/>
        <w:numPr>
          <w:ilvl w:val="0"/>
          <w:numId w:val="3"/>
        </w:numPr>
        <w:spacing w:after="40"/>
      </w:pPr>
      <w:r>
        <w:rPr>
          <w:rFonts w:ascii="Arial" w:cs="Arial" w:eastAsia="Arial" w:hAnsi="Arial"/>
          <w:color w:val="333333"/>
          <w:sz w:val="20"/>
          <w:szCs w:val="20"/>
        </w:rPr>
        <w:t xml:space="preserve">Carry out a Significant Event Analysis (SEA) at the next practice meeting.</w:t>
      </w:r>
    </w:p>
    <w:p>
      <w:pPr>
        <w:pStyle w:val="ListParagraph"/>
        <w:numPr>
          <w:ilvl w:val="0"/>
          <w:numId w:val="3"/>
        </w:numPr>
        <w:spacing w:after="40"/>
      </w:pPr>
      <w:r>
        <w:rPr>
          <w:rFonts w:ascii="Arial" w:cs="Arial" w:eastAsia="Arial" w:hAnsi="Arial"/>
          <w:color w:val="333333"/>
          <w:sz w:val="20"/>
          <w:szCs w:val="20"/>
        </w:rPr>
        <w:t xml:space="preserve">Report to CQC where required (e.g. death or serious injury).</w:t>
      </w:r>
    </w:p>
    <w:p>
      <w:pPr>
        <w:pStyle w:val="ListParagraph"/>
        <w:numPr>
          <w:ilvl w:val="0"/>
          <w:numId w:val="3"/>
        </w:numPr>
        <w:spacing w:after="40"/>
      </w:pPr>
      <w:r>
        <w:rPr>
          <w:rFonts w:ascii="Arial" w:cs="Arial" w:eastAsia="Arial" w:hAnsi="Arial"/>
          <w:color w:val="333333"/>
          <w:sz w:val="20"/>
          <w:szCs w:val="20"/>
        </w:rPr>
        <w:t xml:space="preserve">Report to RIDDOR where the emergency resulted from a work-related cause.</w:t>
      </w:r>
    </w:p>
    <w:p>
      <w:pPr>
        <w:pStyle w:val="ListParagraph"/>
        <w:numPr>
          <w:ilvl w:val="0"/>
          <w:numId w:val="3"/>
        </w:numPr>
        <w:spacing w:after="40"/>
      </w:pPr>
      <w:r>
        <w:rPr>
          <w:rFonts w:ascii="Arial" w:cs="Arial" w:eastAsia="Arial" w:hAnsi="Arial"/>
          <w:color w:val="333333"/>
          <w:sz w:val="20"/>
          <w:szCs w:val="20"/>
        </w:rPr>
        <w:t xml:space="preserve">Replenish any drugs or equipment used immediately.</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9. REVIEW</w:t>
      </w:r>
    </w:p>
    <w:p>
      <w:pPr>
        <w:spacing w:after="80"/>
      </w:pPr>
      <w:r>
        <w:rPr>
          <w:rFonts w:ascii="Arial" w:cs="Arial" w:eastAsia="Arial" w:hAnsi="Arial"/>
          <w:color w:val="333333"/>
          <w:sz w:val="20"/>
          <w:szCs w:val="20"/>
        </w:rPr>
        <w:t xml:space="preserve">This policy shall be reviewed annually, after any medical emergency event, or following updated Resuscitation Council UK Guidelines.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VERSION CONTROL</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000"/>
        <w:gridCol w:w="6678"/>
      </w:tblGrid>
      <w:tr>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Version</w:t>
            </w:r>
          </w:p>
        </w:tc>
        <w:tc>
          <w:tcPr>
            <w:tcW w:type="dxa" w:w="2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Author</w:t>
            </w:r>
          </w:p>
        </w:tc>
        <w:tc>
          <w:tcPr>
            <w:tcW w:type="dxa" w:w="6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Changes</w:t>
            </w:r>
          </w:p>
        </w:tc>
      </w:tr>
      <w:tr>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Date]</w:t>
            </w:r>
          </w:p>
        </w:tc>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[Insert Name]</w:t>
            </w:r>
          </w:p>
        </w:tc>
        <w:tc>
          <w:tcPr>
            <w:tcW w:type="dxa" w:w="6678"/>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color w:val="333333"/>
                <w:sz w:val="18"/>
                <w:szCs w:val="18"/>
              </w:rPr>
              <w:t xml:space="preserve">Initial policy creation</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APPROVAL &amp; SIGN-OFF</w:t>
      </w:r>
    </w:p>
    <w:p>
      <w:pPr>
        <w:spacing w:after="80"/>
      </w:pPr>
      <w:r>
        <w:rPr>
          <w:rFonts w:ascii="Arial" w:cs="Arial" w:eastAsia="Arial" w:hAnsi="Arial"/>
          <w:color w:val="333333"/>
          <w:sz w:val="20"/>
          <w:szCs w:val="20"/>
        </w:rPr>
        <w:t xml:space="preserve">I confirm that this policy has been reviewed, is compliant with current legislation and regulatory requirements, and is approved for implementation within the practice.</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Approved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200"/>
      </w:pPr>
    </w:p>
    <w:p>
      <w:pPr>
        <w:spacing w:after="120" w:before="300"/>
      </w:pPr>
      <w:r>
        <w:rPr>
          <w:rFonts w:ascii="Arial" w:cs="Arial" w:eastAsia="Arial" w:hAnsi="Arial"/>
          <w:b/>
          <w:bCs/>
          <w:color w:val="0B1D3A"/>
          <w:sz w:val="24"/>
          <w:szCs w:val="24"/>
        </w:rPr>
        <w:t xml:space="preserve">STAFF ACKNOWLEDGEMENT</w:t>
      </w:r>
    </w:p>
    <w:p>
      <w:pPr>
        <w:spacing w:after="80"/>
      </w:pPr>
      <w:r>
        <w:rPr>
          <w:rFonts w:ascii="Arial" w:cs="Arial" w:eastAsia="Arial" w:hAnsi="Arial"/>
          <w:color w:val="333333"/>
          <w:sz w:val="20"/>
          <w:szCs w:val="20"/>
        </w:rPr>
        <w:t xml:space="preserve">All staff must read this policy, confirm understanding, and sign below. A copy of this signed page must be retained in the staff training file.</w:t>
      </w:r>
    </w:p>
    <w:p>
      <w:pPr>
        <w:spacing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gridCol w:w="4678"/>
      </w:tblGrid>
      <w:tr>
        <w:tc>
          <w:tcPr>
            <w:tcW w:type="dxa" w:w="4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Name (Print)</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Role</w:t>
            </w:r>
          </w:p>
        </w:tc>
        <w:tc>
          <w:tcPr>
            <w:tcW w:type="dxa" w:w="3000"/>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Signature</w:t>
            </w:r>
          </w:p>
        </w:tc>
        <w:tc>
          <w:tcPr>
            <w:tcW w:type="dxa" w:w="4678"/>
            <w:tcBorders>
              <w:top w:val="single" w:color="D4AF37" w:sz="1"/>
              <w:left w:val="single" w:color="D4AF37" w:sz="1"/>
              <w:bottom w:val="single" w:color="D4AF37" w:sz="1"/>
              <w:right w:val="single" w:color="D4AF37" w:sz="1"/>
            </w:tcBorders>
            <w:shd w:fill="0B1D3A" w:val="clear"/>
            <w:tcMar>
              <w:top w:type="dxa" w:w="50"/>
              <w:left w:type="dxa" w:w="80"/>
              <w:bottom w:type="dxa" w:w="50"/>
              <w:right w:type="dxa" w:w="80"/>
            </w:tcMar>
          </w:tcPr>
          <w:p>
            <w:r>
              <w:rPr>
                <w:rFonts w:ascii="Arial" w:cs="Arial" w:eastAsia="Arial" w:hAnsi="Arial"/>
                <w:b/>
                <w:bCs/>
                <w:color w:val="FFFFFF"/>
                <w:sz w:val="18"/>
                <w:szCs w:val="18"/>
              </w:rPr>
              <w:t xml:space="preserve">Date</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r>
        <w:tc>
          <w:tcPr>
            <w:tcW w:type="dxa" w:w="4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3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c>
          <w:tcPr>
            <w:tcW w:type="dxa" w:w="4678"/>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sz w:val="18"/>
                <w:szCs w:val="18"/>
              </w:rPr>
              <w:t xml:space="preserve"> </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BS-POL-DENT-004 – Medical Emergencies Policy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2026-05-15T11:49:03.738Z</dcterms:created>
  <dcterms:modified xsi:type="dcterms:W3CDTF">2026-05-15T11:49:03.738Z</dcterms:modified>
</cp:coreProperties>
</file>

<file path=docProps/custom.xml><?xml version="1.0" encoding="utf-8"?>
<Properties xmlns="http://schemas.openxmlformats.org/officeDocument/2006/custom-properties" xmlns:vt="http://schemas.openxmlformats.org/officeDocument/2006/docPropsVTypes"/>
</file>