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DENTAL PRACTICE POLICY</w:t>
      </w:r>
    </w:p>
    <w:p>
      <w:pPr>
        <w:spacing w:after="100"/>
        <w:jc w:val="center"/>
      </w:pPr>
      <w:r>
        <w:rPr>
          <w:rFonts w:ascii="Arial" w:cs="Arial" w:eastAsia="Arial" w:hAnsi="Arial"/>
          <w:b/>
          <w:bCs/>
          <w:color w:val="D4AF37"/>
          <w:sz w:val="28"/>
          <w:szCs w:val="28"/>
        </w:rPr>
        <w:t xml:space="preserve">Safeguarding Children &amp; Vulnerable Adults Policy</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BS-POL-DENT-003</w:t>
      </w:r>
    </w:p>
    <w:p>
      <w:pPr>
        <w:spacing w:after="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spacing w:after="60"/>
      </w:pPr>
      <w:r>
        <w:rPr>
          <w:rFonts w:ascii="Arial" w:cs="Arial" w:eastAsia="Arial" w:hAnsi="Arial"/>
          <w:b/>
          <w:bCs/>
          <w:color w:val="0B1D3A"/>
          <w:sz w:val="20"/>
          <w:szCs w:val="20"/>
        </w:rPr>
        <w:t xml:space="preserve">Effective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[Insert Date + 12 months]</w:t>
      </w:r>
    </w:p>
    <w:p>
      <w:pPr>
        <w:spacing w:after="60"/>
      </w:pPr>
      <w:r>
        <w:rPr>
          <w:rFonts w:ascii="Arial" w:cs="Arial" w:eastAsia="Arial" w:hAnsi="Arial"/>
          <w:b/>
          <w:bCs/>
          <w:color w:val="0B1D3A"/>
          <w:sz w:val="20"/>
          <w:szCs w:val="20"/>
        </w:rPr>
        <w:t xml:space="preserve">Policy Owner: </w:t>
      </w:r>
      <w:r>
        <w:rPr>
          <w:rFonts w:ascii="Arial" w:cs="Arial" w:eastAsia="Arial" w:hAnsi="Arial"/>
          <w:color w:val="333333"/>
          <w:sz w:val="20"/>
          <w:szCs w:val="20"/>
        </w:rPr>
        <w:t xml:space="preserve">[Insert Name / Practice Manager]</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80"/>
      </w:pPr>
      <w:r>
        <w:rPr>
          <w:rFonts w:ascii="Arial" w:cs="Arial" w:eastAsia="Arial" w:hAnsi="Arial"/>
          <w:color w:val="333333"/>
          <w:sz w:val="20"/>
          <w:szCs w:val="20"/>
        </w:rPr>
        <w:t xml:space="preserve">This policy establishes the practice’s commitment and procedures for safeguarding and promoting the welfare of children and protecting vulnerable adults from abuse and neglect, in compliance with the Children Act 1989 and 2004, Care Act 2014, and CQC Fundamental Standards (Regulation 13).</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80"/>
      </w:pPr>
      <w:r>
        <w:rPr>
          <w:rFonts w:ascii="Arial" w:cs="Arial" w:eastAsia="Arial" w:hAnsi="Arial"/>
          <w:color w:val="333333"/>
          <w:sz w:val="20"/>
          <w:szCs w:val="20"/>
        </w:rPr>
        <w:t xml:space="preserve">This policy applies to all staff, including permanent, temporary, and locum workers, volunteers, and contractors. It covers all interactions with patients under 18 years and adults at risk of abuse or neglect.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RELEVANT LEGISLATION &amp; GUIDANCE</w:t>
      </w:r>
    </w:p>
    <w:p>
      <w:pPr>
        <w:pStyle w:val="ListParagraph"/>
        <w:numPr>
          <w:ilvl w:val="0"/>
          <w:numId w:val="2"/>
        </w:numPr>
        <w:spacing w:after="40"/>
      </w:pPr>
      <w:r>
        <w:rPr>
          <w:rFonts w:ascii="Arial" w:cs="Arial" w:eastAsia="Arial" w:hAnsi="Arial"/>
          <w:color w:val="333333"/>
          <w:sz w:val="20"/>
          <w:szCs w:val="20"/>
        </w:rPr>
        <w:t xml:space="preserve">Children Act 1989 &amp; Children Act 2004</w:t>
      </w:r>
    </w:p>
    <w:p>
      <w:pPr>
        <w:pStyle w:val="ListParagraph"/>
        <w:numPr>
          <w:ilvl w:val="0"/>
          <w:numId w:val="2"/>
        </w:numPr>
        <w:spacing w:after="40"/>
      </w:pPr>
      <w:r>
        <w:rPr>
          <w:rFonts w:ascii="Arial" w:cs="Arial" w:eastAsia="Arial" w:hAnsi="Arial"/>
          <w:color w:val="333333"/>
          <w:sz w:val="20"/>
          <w:szCs w:val="20"/>
        </w:rPr>
        <w:t xml:space="preserve">Care Act 2014 – Section 42 (Safeguarding Enquiry)</w:t>
      </w:r>
    </w:p>
    <w:p>
      <w:pPr>
        <w:pStyle w:val="ListParagraph"/>
        <w:numPr>
          <w:ilvl w:val="0"/>
          <w:numId w:val="2"/>
        </w:numPr>
        <w:spacing w:after="40"/>
      </w:pPr>
      <w:r>
        <w:rPr>
          <w:rFonts w:ascii="Arial" w:cs="Arial" w:eastAsia="Arial" w:hAnsi="Arial"/>
          <w:color w:val="333333"/>
          <w:sz w:val="20"/>
          <w:szCs w:val="20"/>
        </w:rPr>
        <w:t xml:space="preserve">Working Together to Safeguard Children (HM Government, 2023)</w:t>
      </w:r>
    </w:p>
    <w:p>
      <w:pPr>
        <w:pStyle w:val="ListParagraph"/>
        <w:numPr>
          <w:ilvl w:val="0"/>
          <w:numId w:val="2"/>
        </w:numPr>
        <w:spacing w:after="40"/>
      </w:pPr>
      <w:r>
        <w:rPr>
          <w:rFonts w:ascii="Arial" w:cs="Arial" w:eastAsia="Arial" w:hAnsi="Arial"/>
          <w:color w:val="333333"/>
          <w:sz w:val="20"/>
          <w:szCs w:val="20"/>
        </w:rPr>
        <w:t xml:space="preserve">Mental Capacity Act 2005</w:t>
      </w:r>
    </w:p>
    <w:p>
      <w:pPr>
        <w:pStyle w:val="ListParagraph"/>
        <w:numPr>
          <w:ilvl w:val="0"/>
          <w:numId w:val="2"/>
        </w:numPr>
        <w:spacing w:after="40"/>
      </w:pPr>
      <w:r>
        <w:rPr>
          <w:rFonts w:ascii="Arial" w:cs="Arial" w:eastAsia="Arial" w:hAnsi="Arial"/>
          <w:color w:val="333333"/>
          <w:sz w:val="20"/>
          <w:szCs w:val="20"/>
        </w:rPr>
        <w:t xml:space="preserve">Female Genital Mutilation Act 2003 (as amended by Serious Crime Act 2015) – mandatory reporting</w:t>
      </w:r>
    </w:p>
    <w:p>
      <w:pPr>
        <w:pStyle w:val="ListParagraph"/>
        <w:numPr>
          <w:ilvl w:val="0"/>
          <w:numId w:val="2"/>
        </w:numPr>
        <w:spacing w:after="40"/>
      </w:pPr>
      <w:r>
        <w:rPr>
          <w:rFonts w:ascii="Arial" w:cs="Arial" w:eastAsia="Arial" w:hAnsi="Arial"/>
          <w:color w:val="333333"/>
          <w:sz w:val="20"/>
          <w:szCs w:val="20"/>
        </w:rPr>
        <w:t xml:space="preserve">Modern Slavery Act 2015</w:t>
      </w:r>
    </w:p>
    <w:p>
      <w:pPr>
        <w:pStyle w:val="ListParagraph"/>
        <w:numPr>
          <w:ilvl w:val="0"/>
          <w:numId w:val="2"/>
        </w:numPr>
        <w:spacing w:after="40"/>
      </w:pPr>
      <w:r>
        <w:rPr>
          <w:rFonts w:ascii="Arial" w:cs="Arial" w:eastAsia="Arial" w:hAnsi="Arial"/>
          <w:color w:val="333333"/>
          <w:sz w:val="20"/>
          <w:szCs w:val="20"/>
        </w:rPr>
        <w:t xml:space="preserve">Domestic Abuse Act 2021</w:t>
      </w:r>
    </w:p>
    <w:p>
      <w:pPr>
        <w:pStyle w:val="ListParagraph"/>
        <w:numPr>
          <w:ilvl w:val="0"/>
          <w:numId w:val="2"/>
        </w:numPr>
        <w:spacing w:after="40"/>
      </w:pPr>
      <w:r>
        <w:rPr>
          <w:rFonts w:ascii="Arial" w:cs="Arial" w:eastAsia="Arial" w:hAnsi="Arial"/>
          <w:color w:val="333333"/>
          <w:sz w:val="20"/>
          <w:szCs w:val="20"/>
        </w:rPr>
        <w:t xml:space="preserve">Data Protection Act 2018 / UK GDPR – lawful basis for safeguarding disclosures</w:t>
      </w:r>
    </w:p>
    <w:p>
      <w:pPr>
        <w:pStyle w:val="ListParagraph"/>
        <w:numPr>
          <w:ilvl w:val="0"/>
          <w:numId w:val="2"/>
        </w:numPr>
        <w:spacing w:after="40"/>
      </w:pPr>
      <w:r>
        <w:rPr>
          <w:rFonts w:ascii="Arial" w:cs="Arial" w:eastAsia="Arial" w:hAnsi="Arial"/>
          <w:color w:val="333333"/>
          <w:sz w:val="20"/>
          <w:szCs w:val="20"/>
        </w:rPr>
        <w:t xml:space="preserve">GDC Standards for the Dental Team (2013) – Standard 8 (Raising Concerns)</w:t>
      </w:r>
    </w:p>
    <w:p>
      <w:pPr>
        <w:pStyle w:val="ListParagraph"/>
        <w:numPr>
          <w:ilvl w:val="0"/>
          <w:numId w:val="2"/>
        </w:numPr>
        <w:spacing w:after="40"/>
      </w:pPr>
      <w:r>
        <w:rPr>
          <w:rFonts w:ascii="Arial" w:cs="Arial" w:eastAsia="Arial" w:hAnsi="Arial"/>
          <w:color w:val="333333"/>
          <w:sz w:val="20"/>
          <w:szCs w:val="20"/>
        </w:rPr>
        <w:t xml:space="preserve">CQC Fundamental Standards – Regulation 13 (Safeguarding Service Users from Abuse and Improper Treatment)</w:t>
      </w:r>
    </w:p>
    <w:p>
      <w:pPr>
        <w:pStyle w:val="ListParagraph"/>
        <w:numPr>
          <w:ilvl w:val="0"/>
          <w:numId w:val="2"/>
        </w:numPr>
        <w:spacing w:after="40"/>
      </w:pPr>
      <w:r>
        <w:rPr>
          <w:rFonts w:ascii="Arial" w:cs="Arial" w:eastAsia="Arial" w:hAnsi="Arial"/>
          <w:color w:val="333333"/>
          <w:sz w:val="20"/>
          <w:szCs w:val="20"/>
        </w:rPr>
        <w:t xml:space="preserve">Public Interest Disclosure Act 1998 (Whistleblowing)</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POLICY STATEMENT</w:t>
      </w:r>
    </w:p>
    <w:p>
      <w:pPr>
        <w:spacing w:after="80"/>
      </w:pPr>
      <w:r>
        <w:rPr>
          <w:rFonts w:ascii="Arial" w:cs="Arial" w:eastAsia="Arial" w:hAnsi="Arial"/>
          <w:color w:val="333333"/>
          <w:sz w:val="20"/>
          <w:szCs w:val="20"/>
        </w:rPr>
        <w:t xml:space="preserve">The practice recognises that all staff have a duty to safeguard and promote the welfare of children and to protect adults at risk from abuse and neglect. The dental team is uniquely placed to identify signs of abuse affecting the head, neck, and oral cavity. The practice will ensure that staff are trained, supported, and empowered to recognise and report safeguarding concerns.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DESIGNATED SAFEGUARDING LEAD</w:t>
      </w:r>
    </w:p>
    <w:p>
      <w:pPr>
        <w:spacing w:after="80"/>
      </w:pPr>
      <w:r>
        <w:rPr>
          <w:rFonts w:ascii="Arial" w:cs="Arial" w:eastAsia="Arial" w:hAnsi="Arial"/>
          <w:color w:val="333333"/>
          <w:sz w:val="20"/>
          <w:szCs w:val="20"/>
        </w:rPr>
        <w:t xml:space="preserve">The practice shall appoint a Designated Safeguarding Lead (DSL) who has completed Level 3 safeguarding training in both children and adult safeguarding. A Deputy DSL shall also be designated. Their names and contact details shall be displayed in the staff area.</w:t>
      </w:r>
    </w:p>
    <w:p>
      <w:pPr>
        <w:pStyle w:val="ListParagraph"/>
        <w:numPr>
          <w:ilvl w:val="0"/>
          <w:numId w:val="2"/>
        </w:numPr>
        <w:spacing w:after="40"/>
      </w:pPr>
      <w:r>
        <w:rPr>
          <w:rFonts w:ascii="Arial" w:cs="Arial" w:eastAsia="Arial" w:hAnsi="Arial"/>
          <w:color w:val="333333"/>
          <w:sz w:val="20"/>
          <w:szCs w:val="20"/>
        </w:rPr>
        <w:t xml:space="preserve">Safeguarding Lead: [Insert Name, Role]</w:t>
      </w:r>
    </w:p>
    <w:p>
      <w:pPr>
        <w:pStyle w:val="ListParagraph"/>
        <w:numPr>
          <w:ilvl w:val="0"/>
          <w:numId w:val="2"/>
        </w:numPr>
        <w:spacing w:after="40"/>
      </w:pPr>
      <w:r>
        <w:rPr>
          <w:rFonts w:ascii="Arial" w:cs="Arial" w:eastAsia="Arial" w:hAnsi="Arial"/>
          <w:color w:val="333333"/>
          <w:sz w:val="20"/>
          <w:szCs w:val="20"/>
        </w:rPr>
        <w:t xml:space="preserve">Deputy Safeguarding Lead: [Insert Name, Role]</w:t>
      </w:r>
    </w:p>
    <w:p>
      <w:pPr>
        <w:pStyle w:val="ListParagraph"/>
        <w:numPr>
          <w:ilvl w:val="0"/>
          <w:numId w:val="2"/>
        </w:numPr>
        <w:spacing w:after="40"/>
      </w:pPr>
      <w:r>
        <w:rPr>
          <w:rFonts w:ascii="Arial" w:cs="Arial" w:eastAsia="Arial" w:hAnsi="Arial"/>
          <w:color w:val="333333"/>
          <w:sz w:val="20"/>
          <w:szCs w:val="20"/>
        </w:rPr>
        <w:t xml:space="preserve">Local Authority Children’s Social Care referral: [Insert Local Number]</w:t>
      </w:r>
    </w:p>
    <w:p>
      <w:pPr>
        <w:pStyle w:val="ListParagraph"/>
        <w:numPr>
          <w:ilvl w:val="0"/>
          <w:numId w:val="2"/>
        </w:numPr>
        <w:spacing w:after="40"/>
      </w:pPr>
      <w:r>
        <w:rPr>
          <w:rFonts w:ascii="Arial" w:cs="Arial" w:eastAsia="Arial" w:hAnsi="Arial"/>
          <w:color w:val="333333"/>
          <w:sz w:val="20"/>
          <w:szCs w:val="20"/>
        </w:rPr>
        <w:t xml:space="preserve">Local Authority Adult Social Care referral: [Insert Local Number]</w:t>
      </w:r>
    </w:p>
    <w:p>
      <w:pPr>
        <w:pStyle w:val="ListParagraph"/>
        <w:numPr>
          <w:ilvl w:val="0"/>
          <w:numId w:val="2"/>
        </w:numPr>
        <w:spacing w:after="40"/>
      </w:pPr>
      <w:r>
        <w:rPr>
          <w:rFonts w:ascii="Arial" w:cs="Arial" w:eastAsia="Arial" w:hAnsi="Arial"/>
          <w:color w:val="333333"/>
          <w:sz w:val="20"/>
          <w:szCs w:val="20"/>
        </w:rPr>
        <w:t xml:space="preserve">Local Authority Designated Officer (LADO): [Insert Local Number]</w:t>
      </w:r>
    </w:p>
    <w:p>
      <w:pPr>
        <w:pStyle w:val="ListParagraph"/>
        <w:numPr>
          <w:ilvl w:val="0"/>
          <w:numId w:val="2"/>
        </w:numPr>
        <w:spacing w:after="40"/>
      </w:pPr>
      <w:r>
        <w:rPr>
          <w:rFonts w:ascii="Arial" w:cs="Arial" w:eastAsia="Arial" w:hAnsi="Arial"/>
          <w:color w:val="333333"/>
          <w:sz w:val="20"/>
          <w:szCs w:val="20"/>
        </w:rPr>
        <w:t xml:space="preserve">NSPCC Helpline: 0808 800 5000</w:t>
      </w:r>
    </w:p>
    <w:p>
      <w:pPr>
        <w:pStyle w:val="ListParagraph"/>
        <w:numPr>
          <w:ilvl w:val="0"/>
          <w:numId w:val="2"/>
        </w:numPr>
        <w:spacing w:after="40"/>
      </w:pPr>
      <w:r>
        <w:rPr>
          <w:rFonts w:ascii="Arial" w:cs="Arial" w:eastAsia="Arial" w:hAnsi="Arial"/>
          <w:color w:val="333333"/>
          <w:sz w:val="20"/>
          <w:szCs w:val="20"/>
        </w:rPr>
        <w:t xml:space="preserve">Police (non-emergency): 101 / Emergency: 999</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RECOGNISING ABUSE &amp; NEGLECT</w:t>
      </w:r>
    </w:p>
    <w:p>
      <w:pPr>
        <w:spacing w:after="80" w:before="200"/>
      </w:pPr>
      <w:r>
        <w:rPr>
          <w:rFonts w:ascii="Arial" w:cs="Arial" w:eastAsia="Arial" w:hAnsi="Arial"/>
          <w:b/>
          <w:bCs/>
          <w:color w:val="0B1D3A"/>
          <w:sz w:val="22"/>
          <w:szCs w:val="22"/>
        </w:rPr>
        <w:t xml:space="preserve">6.1 Types of Abuse</w:t>
      </w:r>
    </w:p>
    <w:p>
      <w:pPr>
        <w:pStyle w:val="ListParagraph"/>
        <w:numPr>
          <w:ilvl w:val="0"/>
          <w:numId w:val="2"/>
        </w:numPr>
        <w:spacing w:after="40"/>
      </w:pPr>
      <w:r>
        <w:rPr>
          <w:rFonts w:ascii="Arial" w:cs="Arial" w:eastAsia="Arial" w:hAnsi="Arial"/>
          <w:color w:val="333333"/>
          <w:sz w:val="20"/>
          <w:szCs w:val="20"/>
        </w:rPr>
        <w:t xml:space="preserve">Physical abuse: unexplained bruising (especially facial, ear, neck), bite marks, burns, torn frenulum in non-mobile infant.</w:t>
      </w:r>
    </w:p>
    <w:p>
      <w:pPr>
        <w:pStyle w:val="ListParagraph"/>
        <w:numPr>
          <w:ilvl w:val="0"/>
          <w:numId w:val="2"/>
        </w:numPr>
        <w:spacing w:after="40"/>
      </w:pPr>
      <w:r>
        <w:rPr>
          <w:rFonts w:ascii="Arial" w:cs="Arial" w:eastAsia="Arial" w:hAnsi="Arial"/>
          <w:color w:val="333333"/>
          <w:sz w:val="20"/>
          <w:szCs w:val="20"/>
        </w:rPr>
        <w:t xml:space="preserve">Emotional abuse: behavioural indicators, excessive fear of dental treatment disproportionate to context.</w:t>
      </w:r>
    </w:p>
    <w:p>
      <w:pPr>
        <w:pStyle w:val="ListParagraph"/>
        <w:numPr>
          <w:ilvl w:val="0"/>
          <w:numId w:val="2"/>
        </w:numPr>
        <w:spacing w:after="40"/>
      </w:pPr>
      <w:r>
        <w:rPr>
          <w:rFonts w:ascii="Arial" w:cs="Arial" w:eastAsia="Arial" w:hAnsi="Arial"/>
          <w:color w:val="333333"/>
          <w:sz w:val="20"/>
          <w:szCs w:val="20"/>
        </w:rPr>
        <w:t xml:space="preserve">Sexual abuse: oral injuries, STI presentation in oral cavity, behavioural indicators.</w:t>
      </w:r>
    </w:p>
    <w:p>
      <w:pPr>
        <w:pStyle w:val="ListParagraph"/>
        <w:numPr>
          <w:ilvl w:val="0"/>
          <w:numId w:val="2"/>
        </w:numPr>
        <w:spacing w:after="40"/>
      </w:pPr>
      <w:r>
        <w:rPr>
          <w:rFonts w:ascii="Arial" w:cs="Arial" w:eastAsia="Arial" w:hAnsi="Arial"/>
          <w:color w:val="333333"/>
          <w:sz w:val="20"/>
          <w:szCs w:val="20"/>
        </w:rPr>
        <w:t xml:space="preserve">Neglect: dental neglect (untreated caries, pain, repeated missed appointments, failure to seek timely dental care), poor general hygiene.</w:t>
      </w:r>
    </w:p>
    <w:p>
      <w:pPr>
        <w:pStyle w:val="ListParagraph"/>
        <w:numPr>
          <w:ilvl w:val="0"/>
          <w:numId w:val="2"/>
        </w:numPr>
        <w:spacing w:after="40"/>
      </w:pPr>
      <w:r>
        <w:rPr>
          <w:rFonts w:ascii="Arial" w:cs="Arial" w:eastAsia="Arial" w:hAnsi="Arial"/>
          <w:color w:val="333333"/>
          <w:sz w:val="20"/>
          <w:szCs w:val="20"/>
        </w:rPr>
        <w:t xml:space="preserve">Financial abuse (adults): coercion regarding treatment decisions, third party controlling access to dental care.</w:t>
      </w:r>
    </w:p>
    <w:p>
      <w:pPr>
        <w:pStyle w:val="ListParagraph"/>
        <w:numPr>
          <w:ilvl w:val="0"/>
          <w:numId w:val="2"/>
        </w:numPr>
        <w:spacing w:after="40"/>
      </w:pPr>
      <w:r>
        <w:rPr>
          <w:rFonts w:ascii="Arial" w:cs="Arial" w:eastAsia="Arial" w:hAnsi="Arial"/>
          <w:color w:val="333333"/>
          <w:sz w:val="20"/>
          <w:szCs w:val="20"/>
        </w:rPr>
        <w:t xml:space="preserve">Female Genital Mutilation (FGM): mandatory reporting duty for under-18s identified in clinical setting.</w:t>
      </w:r>
    </w:p>
    <w:p>
      <w:pPr>
        <w:pStyle w:val="ListParagraph"/>
        <w:numPr>
          <w:ilvl w:val="0"/>
          <w:numId w:val="2"/>
        </w:numPr>
        <w:spacing w:after="40"/>
      </w:pPr>
      <w:r>
        <w:rPr>
          <w:rFonts w:ascii="Arial" w:cs="Arial" w:eastAsia="Arial" w:hAnsi="Arial"/>
          <w:color w:val="333333"/>
          <w:sz w:val="20"/>
          <w:szCs w:val="20"/>
        </w:rPr>
        <w:t xml:space="preserve">Modern slavery / exploitation / domestic abuse indicators.</w:t>
      </w:r>
    </w:p>
    <w:p>
      <w:pPr>
        <w:spacing w:after="80" w:before="200"/>
      </w:pPr>
      <w:r>
        <w:rPr>
          <w:rFonts w:ascii="Arial" w:cs="Arial" w:eastAsia="Arial" w:hAnsi="Arial"/>
          <w:b/>
          <w:bCs/>
          <w:color w:val="0B1D3A"/>
          <w:sz w:val="22"/>
          <w:szCs w:val="22"/>
        </w:rPr>
        <w:t xml:space="preserve">6.2 Dental Neglect in Children</w:t>
      </w:r>
    </w:p>
    <w:p>
      <w:pPr>
        <w:spacing w:after="80"/>
      </w:pPr>
      <w:r>
        <w:rPr>
          <w:rFonts w:ascii="Arial" w:cs="Arial" w:eastAsia="Arial" w:hAnsi="Arial"/>
          <w:color w:val="333333"/>
          <w:sz w:val="20"/>
          <w:szCs w:val="20"/>
        </w:rPr>
        <w:t xml:space="preserve">Dental neglect is defined as the persistent failure to meet a child’s basic oral health needs, likely to result in serious impairment of health or development. Assessment shall follow the Harris &amp; Sidebotham framework. Indicators include: multiple untreated carious teeth, dental pain impacting eating/sleeping/school, repeated failure to attend dental appointments after rescheduling, and parental refusal of treatment for the child.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PROCEDURE FOR RAISING A CONCERN</w:t>
      </w:r>
    </w:p>
    <w:p>
      <w:pPr>
        <w:pStyle w:val="ListParagraph"/>
        <w:numPr>
          <w:ilvl w:val="0"/>
          <w:numId w:val="3"/>
        </w:numPr>
        <w:spacing w:after="40"/>
      </w:pPr>
      <w:r>
        <w:rPr>
          <w:rFonts w:ascii="Arial" w:cs="Arial" w:eastAsia="Arial" w:hAnsi="Arial"/>
          <w:color w:val="333333"/>
          <w:sz w:val="20"/>
          <w:szCs w:val="20"/>
        </w:rPr>
        <w:t xml:space="preserve">If you have a safeguarding concern about a child or adult at risk, report it immediately to the Designated Safeguarding Lead.</w:t>
      </w:r>
    </w:p>
    <w:p>
      <w:pPr>
        <w:pStyle w:val="ListParagraph"/>
        <w:numPr>
          <w:ilvl w:val="0"/>
          <w:numId w:val="3"/>
        </w:numPr>
        <w:spacing w:after="40"/>
      </w:pPr>
      <w:r>
        <w:rPr>
          <w:rFonts w:ascii="Arial" w:cs="Arial" w:eastAsia="Arial" w:hAnsi="Arial"/>
          <w:color w:val="333333"/>
          <w:sz w:val="20"/>
          <w:szCs w:val="20"/>
        </w:rPr>
        <w:t xml:space="preserve">The DSL will assess the concern, consult with the patient (where safe and appropriate), and determine the appropriate course of action.</w:t>
      </w:r>
    </w:p>
    <w:p>
      <w:pPr>
        <w:pStyle w:val="ListParagraph"/>
        <w:numPr>
          <w:ilvl w:val="0"/>
          <w:numId w:val="3"/>
        </w:numPr>
        <w:spacing w:after="40"/>
      </w:pPr>
      <w:r>
        <w:rPr>
          <w:rFonts w:ascii="Arial" w:cs="Arial" w:eastAsia="Arial" w:hAnsi="Arial"/>
          <w:color w:val="333333"/>
          <w:sz w:val="20"/>
          <w:szCs w:val="20"/>
        </w:rPr>
        <w:t xml:space="preserve">If the concern meets the threshold for referral, the DSL will make a referral to Local Authority Children’s Social Care (child) or Adult Social Care (adult) within 24 hours. In an emergency (immediate risk of harm), call 999.</w:t>
      </w:r>
    </w:p>
    <w:p>
      <w:pPr>
        <w:pStyle w:val="ListParagraph"/>
        <w:numPr>
          <w:ilvl w:val="0"/>
          <w:numId w:val="3"/>
        </w:numPr>
        <w:spacing w:after="40"/>
      </w:pPr>
      <w:r>
        <w:rPr>
          <w:rFonts w:ascii="Arial" w:cs="Arial" w:eastAsia="Arial" w:hAnsi="Arial"/>
          <w:color w:val="333333"/>
          <w:sz w:val="20"/>
          <w:szCs w:val="20"/>
        </w:rPr>
        <w:t xml:space="preserve">FGM mandatory reporting: If FGM is identified in a patient under 18, the DSL must report to the police via 101 within one working day per the Serious Crime Act 2015.</w:t>
      </w:r>
    </w:p>
    <w:p>
      <w:pPr>
        <w:pStyle w:val="ListParagraph"/>
        <w:numPr>
          <w:ilvl w:val="0"/>
          <w:numId w:val="3"/>
        </w:numPr>
        <w:spacing w:after="40"/>
      </w:pPr>
      <w:r>
        <w:rPr>
          <w:rFonts w:ascii="Arial" w:cs="Arial" w:eastAsia="Arial" w:hAnsi="Arial"/>
          <w:color w:val="333333"/>
          <w:sz w:val="20"/>
          <w:szCs w:val="20"/>
        </w:rPr>
        <w:t xml:space="preserve">All concerns, discussions, decisions, and referrals shall be documented using the practice’s Safeguarding Concern Recording Form and stored securely.</w:t>
      </w:r>
    </w:p>
    <w:p>
      <w:pPr>
        <w:pStyle w:val="ListParagraph"/>
        <w:numPr>
          <w:ilvl w:val="0"/>
          <w:numId w:val="3"/>
        </w:numPr>
        <w:spacing w:after="40"/>
      </w:pPr>
      <w:r>
        <w:rPr>
          <w:rFonts w:ascii="Arial" w:cs="Arial" w:eastAsia="Arial" w:hAnsi="Arial"/>
          <w:color w:val="333333"/>
          <w:sz w:val="20"/>
          <w:szCs w:val="20"/>
        </w:rPr>
        <w:t xml:space="preserve">If the concern involves a staff member, refer to the LADO (Local Authority Designated Officer) and follow the practice’s Allegation Management Procedure.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8. INFORMATION SHARING &amp; CONFIDENTIALITY</w:t>
      </w:r>
    </w:p>
    <w:p>
      <w:pPr>
        <w:spacing w:after="80"/>
      </w:pPr>
      <w:r>
        <w:rPr>
          <w:rFonts w:ascii="Arial" w:cs="Arial" w:eastAsia="Arial" w:hAnsi="Arial"/>
          <w:color w:val="333333"/>
          <w:sz w:val="20"/>
          <w:szCs w:val="20"/>
        </w:rPr>
        <w:t xml:space="preserve">Information may be shared without consent where necessary to protect a child or adult at risk from harm. The lawful basis for disclosure is provided by the Data Protection Act 2018 (Schedule 1, Part 2, Paragraph 18 – safeguarding of children and adults at risk). All disclosures shall follow Caldicott Principles and be made on a need-to-know basis. The decision to share and the rationale shall be documented.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9. SAFER RECRUITMENT</w:t>
      </w:r>
    </w:p>
    <w:p>
      <w:pPr>
        <w:pStyle w:val="ListParagraph"/>
        <w:numPr>
          <w:ilvl w:val="0"/>
          <w:numId w:val="2"/>
        </w:numPr>
        <w:spacing w:after="40"/>
      </w:pPr>
      <w:r>
        <w:rPr>
          <w:rFonts w:ascii="Arial" w:cs="Arial" w:eastAsia="Arial" w:hAnsi="Arial"/>
          <w:color w:val="333333"/>
          <w:sz w:val="20"/>
          <w:szCs w:val="20"/>
        </w:rPr>
        <w:t xml:space="preserve">DBS (Disclosure and Barring Service) Enhanced checks for all patient-facing staff and those in regulated activity, conducted before commencement of employment.</w:t>
      </w:r>
    </w:p>
    <w:p>
      <w:pPr>
        <w:pStyle w:val="ListParagraph"/>
        <w:numPr>
          <w:ilvl w:val="0"/>
          <w:numId w:val="2"/>
        </w:numPr>
        <w:spacing w:after="40"/>
      </w:pPr>
      <w:r>
        <w:rPr>
          <w:rFonts w:ascii="Arial" w:cs="Arial" w:eastAsia="Arial" w:hAnsi="Arial"/>
          <w:color w:val="333333"/>
          <w:sz w:val="20"/>
          <w:szCs w:val="20"/>
        </w:rPr>
        <w:t xml:space="preserve">DBS status rechecked via the DBS Update Service annually or new check obtained every 3 years.</w:t>
      </w:r>
    </w:p>
    <w:p>
      <w:pPr>
        <w:pStyle w:val="ListParagraph"/>
        <w:numPr>
          <w:ilvl w:val="0"/>
          <w:numId w:val="2"/>
        </w:numPr>
        <w:spacing w:after="40"/>
      </w:pPr>
      <w:r>
        <w:rPr>
          <w:rFonts w:ascii="Arial" w:cs="Arial" w:eastAsia="Arial" w:hAnsi="Arial"/>
          <w:color w:val="333333"/>
          <w:sz w:val="20"/>
          <w:szCs w:val="20"/>
        </w:rPr>
        <w:t xml:space="preserve">Two professional references obtained for all new staff.</w:t>
      </w:r>
    </w:p>
    <w:p>
      <w:pPr>
        <w:pStyle w:val="ListParagraph"/>
        <w:numPr>
          <w:ilvl w:val="0"/>
          <w:numId w:val="2"/>
        </w:numPr>
        <w:spacing w:after="40"/>
      </w:pPr>
      <w:r>
        <w:rPr>
          <w:rFonts w:ascii="Arial" w:cs="Arial" w:eastAsia="Arial" w:hAnsi="Arial"/>
          <w:color w:val="333333"/>
          <w:sz w:val="20"/>
          <w:szCs w:val="20"/>
        </w:rPr>
        <w:t xml:space="preserve">Proof of identity and right to work verified.</w:t>
      </w:r>
    </w:p>
    <w:p>
      <w:pPr>
        <w:pStyle w:val="ListParagraph"/>
        <w:numPr>
          <w:ilvl w:val="0"/>
          <w:numId w:val="2"/>
        </w:numPr>
        <w:spacing w:after="40"/>
      </w:pPr>
      <w:r>
        <w:rPr>
          <w:rFonts w:ascii="Arial" w:cs="Arial" w:eastAsia="Arial" w:hAnsi="Arial"/>
          <w:color w:val="333333"/>
          <w:sz w:val="20"/>
          <w:szCs w:val="20"/>
        </w:rPr>
        <w:t xml:space="preserve">GDC registration confirmed for all registered dental professionals.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10. TRAINING</w:t>
      </w:r>
    </w:p>
    <w:p>
      <w:pPr>
        <w:pStyle w:val="ListParagraph"/>
        <w:numPr>
          <w:ilvl w:val="0"/>
          <w:numId w:val="2"/>
        </w:numPr>
        <w:spacing w:after="40"/>
      </w:pPr>
      <w:r>
        <w:rPr>
          <w:rFonts w:ascii="Arial" w:cs="Arial" w:eastAsia="Arial" w:hAnsi="Arial"/>
          <w:color w:val="333333"/>
          <w:sz w:val="20"/>
          <w:szCs w:val="20"/>
        </w:rPr>
        <w:t xml:space="preserve">DSL: Level 3 safeguarding training (children and adults), renewed every 3 years.</w:t>
      </w:r>
    </w:p>
    <w:p>
      <w:pPr>
        <w:pStyle w:val="ListParagraph"/>
        <w:numPr>
          <w:ilvl w:val="0"/>
          <w:numId w:val="2"/>
        </w:numPr>
        <w:spacing w:after="40"/>
      </w:pPr>
      <w:r>
        <w:rPr>
          <w:rFonts w:ascii="Arial" w:cs="Arial" w:eastAsia="Arial" w:hAnsi="Arial"/>
          <w:color w:val="333333"/>
          <w:sz w:val="20"/>
          <w:szCs w:val="20"/>
        </w:rPr>
        <w:t xml:space="preserve">All clinical staff: Level 2 safeguarding training at induction and refreshed every 3 years.</w:t>
      </w:r>
    </w:p>
    <w:p>
      <w:pPr>
        <w:pStyle w:val="ListParagraph"/>
        <w:numPr>
          <w:ilvl w:val="0"/>
          <w:numId w:val="2"/>
        </w:numPr>
        <w:spacing w:after="40"/>
      </w:pPr>
      <w:r>
        <w:rPr>
          <w:rFonts w:ascii="Arial" w:cs="Arial" w:eastAsia="Arial" w:hAnsi="Arial"/>
          <w:color w:val="333333"/>
          <w:sz w:val="20"/>
          <w:szCs w:val="20"/>
        </w:rPr>
        <w:t xml:space="preserve">All non-clinical staff: Level 1 safeguarding awareness training at induction and refreshed every 3 years.</w:t>
      </w:r>
    </w:p>
    <w:p>
      <w:pPr>
        <w:pStyle w:val="ListParagraph"/>
        <w:numPr>
          <w:ilvl w:val="0"/>
          <w:numId w:val="2"/>
        </w:numPr>
        <w:spacing w:after="40"/>
      </w:pPr>
      <w:r>
        <w:rPr>
          <w:rFonts w:ascii="Arial" w:cs="Arial" w:eastAsia="Arial" w:hAnsi="Arial"/>
          <w:color w:val="333333"/>
          <w:sz w:val="20"/>
          <w:szCs w:val="20"/>
        </w:rPr>
        <w:t xml:space="preserve">Additional training on dental neglect, FGM awareness, domestic abuse, and Mental Capacity Act as part of CPD programme.</w:t>
      </w:r>
    </w:p>
    <w:p>
      <w:pPr>
        <w:pStyle w:val="ListParagraph"/>
        <w:numPr>
          <w:ilvl w:val="0"/>
          <w:numId w:val="2"/>
        </w:numPr>
        <w:spacing w:after="40"/>
      </w:pPr>
      <w:r>
        <w:rPr>
          <w:rFonts w:ascii="Arial" w:cs="Arial" w:eastAsia="Arial" w:hAnsi="Arial"/>
          <w:color w:val="333333"/>
          <w:sz w:val="20"/>
          <w:szCs w:val="20"/>
        </w:rPr>
        <w:t xml:space="preserve">Training records maintained in staff files and audited annually by the DSL.</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11. WHISTLEBLOWING</w:t>
      </w:r>
    </w:p>
    <w:p>
      <w:pPr>
        <w:spacing w:after="80"/>
      </w:pPr>
      <w:r>
        <w:rPr>
          <w:rFonts w:ascii="Arial" w:cs="Arial" w:eastAsia="Arial" w:hAnsi="Arial"/>
          <w:color w:val="333333"/>
          <w:sz w:val="20"/>
          <w:szCs w:val="20"/>
        </w:rPr>
        <w:t xml:space="preserve">All staff have a duty to raise concerns about the behaviour of colleagues towards patients. The practice’s Whistleblowing Policy (aligned with the Public Interest Disclosure Act 1998) protects staff who raise concerns in good faith. Concerns may also be raised externally to the CQC, GDC, or police.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12. REVIEW</w:t>
      </w:r>
    </w:p>
    <w:p>
      <w:pPr>
        <w:spacing w:after="80"/>
      </w:pPr>
      <w:r>
        <w:rPr>
          <w:rFonts w:ascii="Arial" w:cs="Arial" w:eastAsia="Arial" w:hAnsi="Arial"/>
          <w:color w:val="333333"/>
          <w:sz w:val="20"/>
          <w:szCs w:val="20"/>
        </w:rPr>
        <w:t xml:space="preserve">This policy shall be reviewed annually, or following a safeguarding incident, updated national guidance, changes to Local Safeguarding Partnership procedures, or CQC inspection findings.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VERSION CONTROL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gridCol w:w="6678"/>
      </w:tblGrid>
      <w:tr>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Author</w:t>
            </w:r>
          </w:p>
        </w:tc>
        <w:tc>
          <w:tcPr>
            <w:tcW w:type="dxa" w:w="6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Date]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Name]</w:t>
            </w:r>
          </w:p>
        </w:tc>
        <w:tc>
          <w:tcPr>
            <w:tcW w:type="dxa" w:w="667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Initial policy creation</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APPROVAL &amp; SIGN-OFF</w:t>
      </w:r>
    </w:p>
    <w:p>
      <w:pPr>
        <w:spacing w:after="80"/>
      </w:pPr>
      <w:r>
        <w:rPr>
          <w:rFonts w:ascii="Arial" w:cs="Arial" w:eastAsia="Arial" w:hAnsi="Arial"/>
          <w:color w:val="333333"/>
          <w:sz w:val="20"/>
          <w:szCs w:val="20"/>
        </w:rPr>
        <w:t xml:space="preserve">I confirm that this policy has been reviewed, is compliant with current legislation and regulatory requirements, and is approved for implementation within the practice.</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Approved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200"/>
      </w:pPr>
    </w:p>
    <w:p>
      <w:pPr>
        <w:spacing w:after="120" w:before="300"/>
      </w:pPr>
      <w:r>
        <w:rPr>
          <w:rFonts w:ascii="Arial" w:cs="Arial" w:eastAsia="Arial" w:hAnsi="Arial"/>
          <w:b/>
          <w:bCs/>
          <w:color w:val="0B1D3A"/>
          <w:sz w:val="24"/>
          <w:szCs w:val="24"/>
        </w:rPr>
        <w:t xml:space="preserve">STAFF ACKNOWLEDGEMENT</w:t>
      </w:r>
    </w:p>
    <w:p>
      <w:pPr>
        <w:spacing w:after="80"/>
      </w:pPr>
      <w:r>
        <w:rPr>
          <w:rFonts w:ascii="Arial" w:cs="Arial" w:eastAsia="Arial" w:hAnsi="Arial"/>
          <w:color w:val="333333"/>
          <w:sz w:val="20"/>
          <w:szCs w:val="20"/>
        </w:rPr>
        <w:t xml:space="preserve">All staff must read this policy, confirm understanding, and sign below. A copy of this signed page must be retained in the staff training file.</w:t>
      </w:r>
    </w:p>
    <w:p>
      <w:pPr>
        <w:spacing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gridCol w:w="4678"/>
      </w:tblGrid>
      <w:tr>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Name (Print)</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4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BS-POL-DENT-003 – Safeguarding Children &amp; Vulnerable Adults Policy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2026-05-15T11:49:03.633Z</dcterms:created>
  <dcterms:modified xsi:type="dcterms:W3CDTF">2026-05-15T11:49:03.633Z</dcterms:modified>
</cp:coreProperties>
</file>

<file path=docProps/custom.xml><?xml version="1.0" encoding="utf-8"?>
<Properties xmlns="http://schemas.openxmlformats.org/officeDocument/2006/custom-properties" xmlns:vt="http://schemas.openxmlformats.org/officeDocument/2006/docPropsVTypes"/>
</file>