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DENTAL PRACTICE POLICY</w:t>
      </w:r>
    </w:p>
    <w:p>
      <w:pPr>
        <w:spacing w:after="100"/>
        <w:jc w:val="center"/>
      </w:pPr>
      <w:r>
        <w:rPr>
          <w:rFonts w:ascii="Arial" w:cs="Arial" w:eastAsia="Arial" w:hAnsi="Arial"/>
          <w:b/>
          <w:bCs/>
          <w:color w:val="D4AF37"/>
          <w:sz w:val="28"/>
          <w:szCs w:val="28"/>
        </w:rPr>
        <w:t xml:space="preserve">Staff Training, CPD &amp; Competency Policy</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BS-POL-DENT-010</w:t>
      </w:r>
    </w:p>
    <w:p>
      <w:pPr>
        <w:spacing w:after="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spacing w:after="60"/>
      </w:pPr>
      <w:r>
        <w:rPr>
          <w:rFonts w:ascii="Arial" w:cs="Arial" w:eastAsia="Arial" w:hAnsi="Arial"/>
          <w:b/>
          <w:bCs/>
          <w:color w:val="0B1D3A"/>
          <w:sz w:val="20"/>
          <w:szCs w:val="20"/>
        </w:rPr>
        <w:t xml:space="preserve">Effective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[Insert Date + 12 months]</w:t>
      </w:r>
    </w:p>
    <w:p>
      <w:pPr>
        <w:spacing w:after="60"/>
      </w:pPr>
      <w:r>
        <w:rPr>
          <w:rFonts w:ascii="Arial" w:cs="Arial" w:eastAsia="Arial" w:hAnsi="Arial"/>
          <w:b/>
          <w:bCs/>
          <w:color w:val="0B1D3A"/>
          <w:sz w:val="20"/>
          <w:szCs w:val="20"/>
        </w:rPr>
        <w:t xml:space="preserve">Policy Owner: </w:t>
      </w:r>
      <w:r>
        <w:rPr>
          <w:rFonts w:ascii="Arial" w:cs="Arial" w:eastAsia="Arial" w:hAnsi="Arial"/>
          <w:color w:val="333333"/>
          <w:sz w:val="20"/>
          <w:szCs w:val="20"/>
        </w:rPr>
        <w:t xml:space="preserve">[Insert Name / Practice Manager]</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80"/>
      </w:pPr>
      <w:r>
        <w:rPr>
          <w:rFonts w:ascii="Arial" w:cs="Arial" w:eastAsia="Arial" w:hAnsi="Arial"/>
          <w:color w:val="333333"/>
          <w:sz w:val="20"/>
          <w:szCs w:val="20"/>
        </w:rPr>
        <w:t xml:space="preserve">This policy ensures that all practice staff are appropriately trained, maintain professional competency, and fulfil continuing professional development (CPD) requirements, in compliance with the GDC CPD requirements (Enhanced CPD Scheme), CQC Fundamental Standards (Regulation 18 – Staffing), and the Health and Safety at Work etc. Act 1974.</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80"/>
      </w:pPr>
      <w:r>
        <w:rPr>
          <w:rFonts w:ascii="Arial" w:cs="Arial" w:eastAsia="Arial" w:hAnsi="Arial"/>
          <w:color w:val="333333"/>
          <w:sz w:val="20"/>
          <w:szCs w:val="20"/>
        </w:rPr>
        <w:t xml:space="preserve">This policy applies to all staff including GDC-registered professionals (dentists, dental nurses, hygienists, therapists, dental technicians, clinical dental technicians, orthodontic therapists), and non-registered staff (receptionists, practice managers, cleaners, trainees).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RELEVANT LEGISLATION &amp; GUIDANCE</w:t>
      </w:r>
    </w:p>
    <w:p>
      <w:pPr>
        <w:pStyle w:val="ListParagraph"/>
        <w:numPr>
          <w:ilvl w:val="0"/>
          <w:numId w:val="2"/>
        </w:numPr>
        <w:spacing w:after="40"/>
      </w:pPr>
      <w:r>
        <w:rPr>
          <w:rFonts w:ascii="Arial" w:cs="Arial" w:eastAsia="Arial" w:hAnsi="Arial"/>
          <w:color w:val="333333"/>
          <w:sz w:val="20"/>
          <w:szCs w:val="20"/>
        </w:rPr>
        <w:t xml:space="preserve">GDC Enhanced CPD Scheme – requirements by registrant group</w:t>
      </w:r>
    </w:p>
    <w:p>
      <w:pPr>
        <w:pStyle w:val="ListParagraph"/>
        <w:numPr>
          <w:ilvl w:val="0"/>
          <w:numId w:val="2"/>
        </w:numPr>
        <w:spacing w:after="40"/>
      </w:pPr>
      <w:r>
        <w:rPr>
          <w:rFonts w:ascii="Arial" w:cs="Arial" w:eastAsia="Arial" w:hAnsi="Arial"/>
          <w:color w:val="333333"/>
          <w:sz w:val="20"/>
          <w:szCs w:val="20"/>
        </w:rPr>
        <w:t xml:space="preserve">GDC Standards for the Dental Team (2013) – Standard 7 (CPD)</w:t>
      </w:r>
    </w:p>
    <w:p>
      <w:pPr>
        <w:pStyle w:val="ListParagraph"/>
        <w:numPr>
          <w:ilvl w:val="0"/>
          <w:numId w:val="2"/>
        </w:numPr>
        <w:spacing w:after="40"/>
      </w:pPr>
      <w:r>
        <w:rPr>
          <w:rFonts w:ascii="Arial" w:cs="Arial" w:eastAsia="Arial" w:hAnsi="Arial"/>
          <w:color w:val="333333"/>
          <w:sz w:val="20"/>
          <w:szCs w:val="20"/>
        </w:rPr>
        <w:t xml:space="preserve">GDC Scope of Practice (2013)</w:t>
      </w:r>
    </w:p>
    <w:p>
      <w:pPr>
        <w:pStyle w:val="ListParagraph"/>
        <w:numPr>
          <w:ilvl w:val="0"/>
          <w:numId w:val="2"/>
        </w:numPr>
        <w:spacing w:after="40"/>
      </w:pPr>
      <w:r>
        <w:rPr>
          <w:rFonts w:ascii="Arial" w:cs="Arial" w:eastAsia="Arial" w:hAnsi="Arial"/>
          <w:color w:val="333333"/>
          <w:sz w:val="20"/>
          <w:szCs w:val="20"/>
        </w:rPr>
        <w:t xml:space="preserve">Health and Safety at Work etc. Act 1974 – duty to provide information, instruction, training, and supervision</w:t>
      </w:r>
    </w:p>
    <w:p>
      <w:pPr>
        <w:pStyle w:val="ListParagraph"/>
        <w:numPr>
          <w:ilvl w:val="0"/>
          <w:numId w:val="2"/>
        </w:numPr>
        <w:spacing w:after="40"/>
      </w:pPr>
      <w:r>
        <w:rPr>
          <w:rFonts w:ascii="Arial" w:cs="Arial" w:eastAsia="Arial" w:hAnsi="Arial"/>
          <w:color w:val="333333"/>
          <w:sz w:val="20"/>
          <w:szCs w:val="20"/>
        </w:rPr>
        <w:t xml:space="preserve">Management of Health and Safety at Work Regulations 1999 – Regulation 13 (Capabilities and Training)</w:t>
      </w:r>
    </w:p>
    <w:p>
      <w:pPr>
        <w:pStyle w:val="ListParagraph"/>
        <w:numPr>
          <w:ilvl w:val="0"/>
          <w:numId w:val="2"/>
        </w:numPr>
        <w:spacing w:after="40"/>
      </w:pPr>
      <w:r>
        <w:rPr>
          <w:rFonts w:ascii="Arial" w:cs="Arial" w:eastAsia="Arial" w:hAnsi="Arial"/>
          <w:color w:val="333333"/>
          <w:sz w:val="20"/>
          <w:szCs w:val="20"/>
        </w:rPr>
        <w:t xml:space="preserve">CQC Fundamental Standards – Regulation 18 (Staffing) &amp; Regulation 12 (Safe Care and Treatment)</w:t>
      </w:r>
    </w:p>
    <w:p>
      <w:pPr>
        <w:pStyle w:val="ListParagraph"/>
        <w:numPr>
          <w:ilvl w:val="0"/>
          <w:numId w:val="2"/>
        </w:numPr>
        <w:spacing w:after="40"/>
      </w:pPr>
      <w:r>
        <w:rPr>
          <w:rFonts w:ascii="Arial" w:cs="Arial" w:eastAsia="Arial" w:hAnsi="Arial"/>
          <w:color w:val="333333"/>
          <w:sz w:val="20"/>
          <w:szCs w:val="20"/>
        </w:rPr>
        <w:t xml:space="preserve">Health Education England (HEE) frameworks and competency standards</w:t>
      </w:r>
    </w:p>
    <w:p>
      <w:pPr>
        <w:pStyle w:val="ListParagraph"/>
        <w:numPr>
          <w:ilvl w:val="0"/>
          <w:numId w:val="2"/>
        </w:numPr>
        <w:spacing w:after="40"/>
      </w:pPr>
      <w:r>
        <w:rPr>
          <w:rFonts w:ascii="Arial" w:cs="Arial" w:eastAsia="Arial" w:hAnsi="Arial"/>
          <w:color w:val="333333"/>
          <w:sz w:val="20"/>
          <w:szCs w:val="20"/>
        </w:rPr>
        <w:t xml:space="preserve">Ionising Radiation (Medical Exposure) Regulations 2017 – training requirements for duty holders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POLICY STATEMENT</w:t>
      </w:r>
    </w:p>
    <w:p>
      <w:pPr>
        <w:spacing w:after="80"/>
      </w:pPr>
      <w:r>
        <w:rPr>
          <w:rFonts w:ascii="Arial" w:cs="Arial" w:eastAsia="Arial" w:hAnsi="Arial"/>
          <w:color w:val="333333"/>
          <w:sz w:val="20"/>
          <w:szCs w:val="20"/>
        </w:rPr>
        <w:t xml:space="preserve">The practice is committed to supporting the professional development of all staff and ensuring that clinical care is delivered by competent, trained, and supervised individuals. Training shall be planned, documented, and aligned to the needs of the practice, patients, and individual professional requirements.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GDC ENHANCED CPD REQUIREMENTS</w:t>
      </w:r>
    </w:p>
    <w:p>
      <w:pPr>
        <w:spacing w:after="80"/>
      </w:pPr>
      <w:r>
        <w:rPr>
          <w:rFonts w:ascii="Arial" w:cs="Arial" w:eastAsia="Arial" w:hAnsi="Arial"/>
          <w:color w:val="333333"/>
          <w:sz w:val="20"/>
          <w:szCs w:val="20"/>
        </w:rPr>
        <w:t xml:space="preserve">All GDC-registered staff must comply with the Enhanced CPD Scheme for their 5-year CPD cycle. The minimum hours and recommended topics include:</w:t>
      </w:r>
    </w:p>
    <w:p>
      <w:pPr>
        <w:pStyle w:val="ListParagraph"/>
        <w:numPr>
          <w:ilvl w:val="0"/>
          <w:numId w:val="2"/>
        </w:numPr>
        <w:spacing w:after="40"/>
      </w:pPr>
      <w:r>
        <w:rPr>
          <w:rFonts w:ascii="Arial" w:cs="Arial" w:eastAsia="Arial" w:hAnsi="Arial"/>
          <w:color w:val="333333"/>
          <w:sz w:val="20"/>
          <w:szCs w:val="20"/>
        </w:rPr>
        <w:t xml:space="preserve">Dentists: 100 hours verifiable CPD per 5-year cycle (minimum 10 hours per year).</w:t>
      </w:r>
    </w:p>
    <w:p>
      <w:pPr>
        <w:pStyle w:val="ListParagraph"/>
        <w:numPr>
          <w:ilvl w:val="0"/>
          <w:numId w:val="2"/>
        </w:numPr>
        <w:spacing w:after="40"/>
      </w:pPr>
      <w:r>
        <w:rPr>
          <w:rFonts w:ascii="Arial" w:cs="Arial" w:eastAsia="Arial" w:hAnsi="Arial"/>
          <w:color w:val="333333"/>
          <w:sz w:val="20"/>
          <w:szCs w:val="20"/>
        </w:rPr>
        <w:t xml:space="preserve">Dental Care Professionals (DCPs): 75 hours verifiable CPD per 5-year cycle (minimum 10 hours per year).</w:t>
      </w:r>
    </w:p>
    <w:p>
      <w:pPr>
        <w:pStyle w:val="ListParagraph"/>
        <w:numPr>
          <w:ilvl w:val="0"/>
          <w:numId w:val="2"/>
        </w:numPr>
        <w:spacing w:after="40"/>
      </w:pPr>
      <w:r>
        <w:rPr>
          <w:rFonts w:ascii="Arial" w:cs="Arial" w:eastAsia="Arial" w:hAnsi="Arial"/>
          <w:color w:val="333333"/>
          <w:sz w:val="20"/>
          <w:szCs w:val="20"/>
        </w:rPr>
        <w:t xml:space="preserve">GDC Recommended CPD Topics (all registrants): medical emergencies (minimum 10 hours per cycle), disinfection and decontamination, radiography and radiation protection, legal and ethical issues, complaints handling, oral cancer – early detection.</w:t>
      </w:r>
    </w:p>
    <w:p>
      <w:pPr>
        <w:pStyle w:val="ListParagraph"/>
        <w:numPr>
          <w:ilvl w:val="0"/>
          <w:numId w:val="2"/>
        </w:numPr>
        <w:spacing w:after="40"/>
      </w:pPr>
      <w:r>
        <w:rPr>
          <w:rFonts w:ascii="Arial" w:cs="Arial" w:eastAsia="Arial" w:hAnsi="Arial"/>
          <w:color w:val="333333"/>
          <w:sz w:val="20"/>
          <w:szCs w:val="20"/>
        </w:rPr>
        <w:t xml:space="preserve">Each registrant must produce a Personal Development Plan (PDP) annually, aligned to their CPD cycle.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MANDATORY TRAINING (ALL STAFF)</w:t>
      </w:r>
    </w:p>
    <w:p>
      <w:pPr>
        <w:spacing w:after="80"/>
      </w:pPr>
      <w:r>
        <w:rPr>
          <w:rFonts w:ascii="Arial" w:cs="Arial" w:eastAsia="Arial" w:hAnsi="Arial"/>
          <w:color w:val="333333"/>
          <w:sz w:val="20"/>
          <w:szCs w:val="20"/>
        </w:rPr>
        <w:t xml:space="preserve">The following mandatory training applies to all practice staff, regardless of GDC registration status:</w:t>
      </w:r>
    </w:p>
    <w:p>
      <w:pPr>
        <w:pStyle w:val="ListParagraph"/>
        <w:numPr>
          <w:ilvl w:val="0"/>
          <w:numId w:val="2"/>
        </w:numPr>
        <w:spacing w:after="40"/>
      </w:pPr>
      <w:r>
        <w:rPr>
          <w:rFonts w:ascii="Arial" w:cs="Arial" w:eastAsia="Arial" w:hAnsi="Arial"/>
          <w:color w:val="333333"/>
          <w:sz w:val="20"/>
          <w:szCs w:val="20"/>
        </w:rPr>
        <w:t xml:space="preserve">Basic Life Support (BLS) / Medical Emergencies: annually (clinical staff); biannually (non-clinical staff).</w:t>
      </w:r>
    </w:p>
    <w:p>
      <w:pPr>
        <w:pStyle w:val="ListParagraph"/>
        <w:numPr>
          <w:ilvl w:val="0"/>
          <w:numId w:val="2"/>
        </w:numPr>
        <w:spacing w:after="40"/>
      </w:pPr>
      <w:r>
        <w:rPr>
          <w:rFonts w:ascii="Arial" w:cs="Arial" w:eastAsia="Arial" w:hAnsi="Arial"/>
          <w:color w:val="333333"/>
          <w:sz w:val="20"/>
          <w:szCs w:val="20"/>
        </w:rPr>
        <w:t xml:space="preserve">Infection Prevention &amp; Control (IPC): at induction and annually.</w:t>
      </w:r>
    </w:p>
    <w:p>
      <w:pPr>
        <w:pStyle w:val="ListParagraph"/>
        <w:numPr>
          <w:ilvl w:val="0"/>
          <w:numId w:val="2"/>
        </w:numPr>
        <w:spacing w:after="40"/>
      </w:pPr>
      <w:r>
        <w:rPr>
          <w:rFonts w:ascii="Arial" w:cs="Arial" w:eastAsia="Arial" w:hAnsi="Arial"/>
          <w:color w:val="333333"/>
          <w:sz w:val="20"/>
          <w:szCs w:val="20"/>
        </w:rPr>
        <w:t xml:space="preserve">Safeguarding Children: at induction and every 3 years (Level 1/2 clinical, Level 1 non-clinical).</w:t>
      </w:r>
    </w:p>
    <w:p>
      <w:pPr>
        <w:pStyle w:val="ListParagraph"/>
        <w:numPr>
          <w:ilvl w:val="0"/>
          <w:numId w:val="2"/>
        </w:numPr>
        <w:spacing w:after="40"/>
      </w:pPr>
      <w:r>
        <w:rPr>
          <w:rFonts w:ascii="Arial" w:cs="Arial" w:eastAsia="Arial" w:hAnsi="Arial"/>
          <w:color w:val="333333"/>
          <w:sz w:val="20"/>
          <w:szCs w:val="20"/>
        </w:rPr>
        <w:t xml:space="preserve">Safeguarding Adults: at induction and every 3 years.</w:t>
      </w:r>
    </w:p>
    <w:p>
      <w:pPr>
        <w:pStyle w:val="ListParagraph"/>
        <w:numPr>
          <w:ilvl w:val="0"/>
          <w:numId w:val="2"/>
        </w:numPr>
        <w:spacing w:after="40"/>
      </w:pPr>
      <w:r>
        <w:rPr>
          <w:rFonts w:ascii="Arial" w:cs="Arial" w:eastAsia="Arial" w:hAnsi="Arial"/>
          <w:color w:val="333333"/>
          <w:sz w:val="20"/>
          <w:szCs w:val="20"/>
        </w:rPr>
        <w:t xml:space="preserve">Fire Safety: at induction and annually.</w:t>
      </w:r>
    </w:p>
    <w:p>
      <w:pPr>
        <w:pStyle w:val="ListParagraph"/>
        <w:numPr>
          <w:ilvl w:val="0"/>
          <w:numId w:val="2"/>
        </w:numPr>
        <w:spacing w:after="40"/>
      </w:pPr>
      <w:r>
        <w:rPr>
          <w:rFonts w:ascii="Arial" w:cs="Arial" w:eastAsia="Arial" w:hAnsi="Arial"/>
          <w:color w:val="333333"/>
          <w:sz w:val="20"/>
          <w:szCs w:val="20"/>
        </w:rPr>
        <w:t xml:space="preserve">Health &amp; Safety / Manual Handling: at induction and annually.</w:t>
      </w:r>
    </w:p>
    <w:p>
      <w:pPr>
        <w:pStyle w:val="ListParagraph"/>
        <w:numPr>
          <w:ilvl w:val="0"/>
          <w:numId w:val="2"/>
        </w:numPr>
        <w:spacing w:after="40"/>
      </w:pPr>
      <w:r>
        <w:rPr>
          <w:rFonts w:ascii="Arial" w:cs="Arial" w:eastAsia="Arial" w:hAnsi="Arial"/>
          <w:color w:val="333333"/>
          <w:sz w:val="20"/>
          <w:szCs w:val="20"/>
        </w:rPr>
        <w:t xml:space="preserve">Data Protection / Information Governance: at induction and annually.</w:t>
      </w:r>
    </w:p>
    <w:p>
      <w:pPr>
        <w:pStyle w:val="ListParagraph"/>
        <w:numPr>
          <w:ilvl w:val="0"/>
          <w:numId w:val="2"/>
        </w:numPr>
        <w:spacing w:after="40"/>
      </w:pPr>
      <w:r>
        <w:rPr>
          <w:rFonts w:ascii="Arial" w:cs="Arial" w:eastAsia="Arial" w:hAnsi="Arial"/>
          <w:color w:val="333333"/>
          <w:sz w:val="20"/>
          <w:szCs w:val="20"/>
        </w:rPr>
        <w:t xml:space="preserve">Equality, Diversity &amp; Inclusion: at induction and every 3 years.</w:t>
      </w:r>
    </w:p>
    <w:p>
      <w:pPr>
        <w:pStyle w:val="ListParagraph"/>
        <w:numPr>
          <w:ilvl w:val="0"/>
          <w:numId w:val="2"/>
        </w:numPr>
        <w:spacing w:after="40"/>
      </w:pPr>
      <w:r>
        <w:rPr>
          <w:rFonts w:ascii="Arial" w:cs="Arial" w:eastAsia="Arial" w:hAnsi="Arial"/>
          <w:color w:val="333333"/>
          <w:sz w:val="20"/>
          <w:szCs w:val="20"/>
        </w:rPr>
        <w:t xml:space="preserve">Radiation Protection (IR(ME)R / IRR17 roles): before acting as duty holder and within each CPD cycle.</w:t>
      </w:r>
    </w:p>
    <w:p>
      <w:pPr>
        <w:pStyle w:val="ListParagraph"/>
        <w:numPr>
          <w:ilvl w:val="0"/>
          <w:numId w:val="2"/>
        </w:numPr>
        <w:spacing w:after="40"/>
      </w:pPr>
      <w:r>
        <w:rPr>
          <w:rFonts w:ascii="Arial" w:cs="Arial" w:eastAsia="Arial" w:hAnsi="Arial"/>
          <w:color w:val="333333"/>
          <w:sz w:val="20"/>
          <w:szCs w:val="20"/>
        </w:rPr>
        <w:t xml:space="preserve">COSHH Awareness: at induction and annually (clinical staff).</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INDUCTION</w:t>
      </w:r>
    </w:p>
    <w:p>
      <w:pPr>
        <w:spacing w:after="80"/>
      </w:pPr>
      <w:r>
        <w:rPr>
          <w:rFonts w:ascii="Arial" w:cs="Arial" w:eastAsia="Arial" w:hAnsi="Arial"/>
          <w:color w:val="333333"/>
          <w:sz w:val="20"/>
          <w:szCs w:val="20"/>
        </w:rPr>
        <w:t xml:space="preserve">All new staff (including locums) shall complete a structured induction programme before undertaking unsupervised duties. The induction shall cover: practice orientation, emergency procedures (fire, medical emergency), IPC protocols, safeguarding, health and safety, data protection, confidentiality, and role-specific training. An Induction Checklist shall be completed and signed by the new staff member and their supervisor, and retained in the staff training file.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8. COMPETENCY ASSESSMENT</w:t>
      </w:r>
    </w:p>
    <w:p>
      <w:pPr>
        <w:pStyle w:val="ListParagraph"/>
        <w:numPr>
          <w:ilvl w:val="0"/>
          <w:numId w:val="2"/>
        </w:numPr>
        <w:spacing w:after="40"/>
      </w:pPr>
      <w:r>
        <w:rPr>
          <w:rFonts w:ascii="Arial" w:cs="Arial" w:eastAsia="Arial" w:hAnsi="Arial"/>
          <w:color w:val="333333"/>
          <w:sz w:val="20"/>
          <w:szCs w:val="20"/>
        </w:rPr>
        <w:t xml:space="preserve">All clinical staff shall undergo annual competency assessment relevant to their scope of practice.</w:t>
      </w:r>
    </w:p>
    <w:p>
      <w:pPr>
        <w:pStyle w:val="ListParagraph"/>
        <w:numPr>
          <w:ilvl w:val="0"/>
          <w:numId w:val="2"/>
        </w:numPr>
        <w:spacing w:after="40"/>
      </w:pPr>
      <w:r>
        <w:rPr>
          <w:rFonts w:ascii="Arial" w:cs="Arial" w:eastAsia="Arial" w:hAnsi="Arial"/>
          <w:color w:val="333333"/>
          <w:sz w:val="20"/>
          <w:szCs w:val="20"/>
        </w:rPr>
        <w:t xml:space="preserve">Competency assessments may include: directly observed procedures (DOPs), case-based discussions (CBDs), peer review, and audit participation.</w:t>
      </w:r>
    </w:p>
    <w:p>
      <w:pPr>
        <w:pStyle w:val="ListParagraph"/>
        <w:numPr>
          <w:ilvl w:val="0"/>
          <w:numId w:val="2"/>
        </w:numPr>
        <w:spacing w:after="40"/>
      </w:pPr>
      <w:r>
        <w:rPr>
          <w:rFonts w:ascii="Arial" w:cs="Arial" w:eastAsia="Arial" w:hAnsi="Arial"/>
          <w:color w:val="333333"/>
          <w:sz w:val="20"/>
          <w:szCs w:val="20"/>
        </w:rPr>
        <w:t xml:space="preserve">Newly qualified or returning-to-practice staff shall undergo enhanced supervision and competency sign-off before independent practice.</w:t>
      </w:r>
    </w:p>
    <w:p>
      <w:pPr>
        <w:pStyle w:val="ListParagraph"/>
        <w:numPr>
          <w:ilvl w:val="0"/>
          <w:numId w:val="2"/>
        </w:numPr>
        <w:spacing w:after="40"/>
      </w:pPr>
      <w:r>
        <w:rPr>
          <w:rFonts w:ascii="Arial" w:cs="Arial" w:eastAsia="Arial" w:hAnsi="Arial"/>
          <w:color w:val="333333"/>
          <w:sz w:val="20"/>
          <w:szCs w:val="20"/>
        </w:rPr>
        <w:t xml:space="preserve">Competency records maintained in individual staff training files.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9. TRAINING MATRIX &amp; RECORDS</w:t>
      </w:r>
    </w:p>
    <w:p>
      <w:pPr>
        <w:spacing w:after="80"/>
      </w:pPr>
      <w:r>
        <w:rPr>
          <w:rFonts w:ascii="Arial" w:cs="Arial" w:eastAsia="Arial" w:hAnsi="Arial"/>
          <w:color w:val="333333"/>
          <w:sz w:val="20"/>
          <w:szCs w:val="20"/>
        </w:rPr>
        <w:t xml:space="preserve">A Training Matrix shall be maintained by the Practice Manager, recording all mandatory and role-specific training for each staff member, including: training topic, date completed, provider, next due date, and certificate reference. The matrix shall be reviewed monthly to identify upcoming renewal dates and training gaps. Training certificates shall be retained in individual staff files and copies available for CQC inspection.</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10. ANNUAL APPRAISAL</w:t>
      </w:r>
    </w:p>
    <w:p>
      <w:pPr>
        <w:spacing w:after="80"/>
      </w:pPr>
      <w:r>
        <w:rPr>
          <w:rFonts w:ascii="Arial" w:cs="Arial" w:eastAsia="Arial" w:hAnsi="Arial"/>
          <w:color w:val="333333"/>
          <w:sz w:val="20"/>
          <w:szCs w:val="20"/>
        </w:rPr>
        <w:t xml:space="preserve">All staff shall receive a formal annual appraisal with their line manager. The appraisal shall include: review of the previous year’s PDP and objectives, discussion of training needs, identification of development opportunities, goal-setting for the coming year, and wellbeing check-in. GDC registrants shall use the appraisal to inform their PDP and CPD planning. Appraisal records retained in staff files.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11. SUPPORT FOR LEARNING</w:t>
      </w:r>
    </w:p>
    <w:p>
      <w:pPr>
        <w:pStyle w:val="ListParagraph"/>
        <w:numPr>
          <w:ilvl w:val="0"/>
          <w:numId w:val="2"/>
        </w:numPr>
        <w:spacing w:after="40"/>
      </w:pPr>
      <w:r>
        <w:rPr>
          <w:rFonts w:ascii="Arial" w:cs="Arial" w:eastAsia="Arial" w:hAnsi="Arial"/>
          <w:color w:val="333333"/>
          <w:sz w:val="20"/>
          <w:szCs w:val="20"/>
        </w:rPr>
        <w:t xml:space="preserve">The practice shall allocate a training budget annually: [Insert amount or process].</w:t>
      </w:r>
    </w:p>
    <w:p>
      <w:pPr>
        <w:pStyle w:val="ListParagraph"/>
        <w:numPr>
          <w:ilvl w:val="0"/>
          <w:numId w:val="2"/>
        </w:numPr>
        <w:spacing w:after="40"/>
      </w:pPr>
      <w:r>
        <w:rPr>
          <w:rFonts w:ascii="Arial" w:cs="Arial" w:eastAsia="Arial" w:hAnsi="Arial"/>
          <w:color w:val="333333"/>
          <w:sz w:val="20"/>
          <w:szCs w:val="20"/>
        </w:rPr>
        <w:t xml:space="preserve">Paid study leave shall be granted for approved CPD activities per the practice’s Study Leave Policy.</w:t>
      </w:r>
    </w:p>
    <w:p>
      <w:pPr>
        <w:pStyle w:val="ListParagraph"/>
        <w:numPr>
          <w:ilvl w:val="0"/>
          <w:numId w:val="2"/>
        </w:numPr>
        <w:spacing w:after="40"/>
      </w:pPr>
      <w:r>
        <w:rPr>
          <w:rFonts w:ascii="Arial" w:cs="Arial" w:eastAsia="Arial" w:hAnsi="Arial"/>
          <w:color w:val="333333"/>
          <w:sz w:val="20"/>
          <w:szCs w:val="20"/>
        </w:rPr>
        <w:t xml:space="preserve">In-house training sessions shall be held at regular practice meetings (minimum quarterly).</w:t>
      </w:r>
    </w:p>
    <w:p>
      <w:pPr>
        <w:pStyle w:val="ListParagraph"/>
        <w:numPr>
          <w:ilvl w:val="0"/>
          <w:numId w:val="2"/>
        </w:numPr>
        <w:spacing w:after="40"/>
      </w:pPr>
      <w:r>
        <w:rPr>
          <w:rFonts w:ascii="Arial" w:cs="Arial" w:eastAsia="Arial" w:hAnsi="Arial"/>
          <w:color w:val="333333"/>
          <w:sz w:val="20"/>
          <w:szCs w:val="20"/>
        </w:rPr>
        <w:t xml:space="preserve">Access to online CPD platforms (e.g. e-LfH, BDA CPD Hub) supported where appropriate.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12. REVIEW</w:t>
      </w:r>
    </w:p>
    <w:p>
      <w:pPr>
        <w:spacing w:after="80"/>
      </w:pPr>
      <w:r>
        <w:rPr>
          <w:rFonts w:ascii="Arial" w:cs="Arial" w:eastAsia="Arial" w:hAnsi="Arial"/>
          <w:color w:val="333333"/>
          <w:sz w:val="20"/>
          <w:szCs w:val="20"/>
        </w:rPr>
        <w:t xml:space="preserve">This policy shall be reviewed annually, or following CQC inspection findings, a change in GDC CPD requirements, or identified training deficiencies.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VERSION CONTROL</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000"/>
        <w:gridCol w:w="6678"/>
      </w:tblGrid>
      <w:tr>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Version</w:t>
            </w:r>
          </w:p>
        </w:tc>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Author</w:t>
            </w:r>
          </w:p>
        </w:tc>
        <w:tc>
          <w:tcPr>
            <w:tcW w:type="dxa" w:w="6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Changes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Date]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Name]</w:t>
            </w:r>
          </w:p>
        </w:tc>
        <w:tc>
          <w:tcPr>
            <w:tcW w:type="dxa" w:w="667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Initial policy creation</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APPROVAL &amp; SIGN-OFF</w:t>
      </w:r>
    </w:p>
    <w:p>
      <w:pPr>
        <w:spacing w:after="80"/>
      </w:pPr>
      <w:r>
        <w:rPr>
          <w:rFonts w:ascii="Arial" w:cs="Arial" w:eastAsia="Arial" w:hAnsi="Arial"/>
          <w:color w:val="333333"/>
          <w:sz w:val="20"/>
          <w:szCs w:val="20"/>
        </w:rPr>
        <w:t xml:space="preserve">I confirm that this policy has been reviewed, is compliant with current legislation and regulatory requirements, and is approved for implementation within the practice.</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Approved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200"/>
      </w:pPr>
    </w:p>
    <w:p>
      <w:pPr>
        <w:spacing w:after="120" w:before="300"/>
      </w:pPr>
      <w:r>
        <w:rPr>
          <w:rFonts w:ascii="Arial" w:cs="Arial" w:eastAsia="Arial" w:hAnsi="Arial"/>
          <w:b/>
          <w:bCs/>
          <w:color w:val="0B1D3A"/>
          <w:sz w:val="24"/>
          <w:szCs w:val="24"/>
        </w:rPr>
        <w:t xml:space="preserve">STAFF ACKNOWLEDGEMENT</w:t>
      </w:r>
    </w:p>
    <w:p>
      <w:pPr>
        <w:spacing w:after="80"/>
      </w:pPr>
      <w:r>
        <w:rPr>
          <w:rFonts w:ascii="Arial" w:cs="Arial" w:eastAsia="Arial" w:hAnsi="Arial"/>
          <w:color w:val="333333"/>
          <w:sz w:val="20"/>
          <w:szCs w:val="20"/>
        </w:rPr>
        <w:t xml:space="preserve">All staff must read this policy, confirm understanding, and sign below. A copy of this signed page must be retained in the staff training file.</w:t>
      </w:r>
    </w:p>
    <w:p>
      <w:pPr>
        <w:spacing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gridCol w:w="4678"/>
      </w:tblGrid>
      <w:tr>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Name (Print)</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Role</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Signature</w:t>
            </w:r>
          </w:p>
        </w:tc>
        <w:tc>
          <w:tcPr>
            <w:tcW w:type="dxa" w:w="4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BS-POL-DENT-010 – Staff Training, CPD &amp; Competency Policy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2026-05-15T11:49:04.200Z</dcterms:created>
  <dcterms:modified xsi:type="dcterms:W3CDTF">2026-05-15T11:49:04.200Z</dcterms:modified>
</cp:coreProperties>
</file>

<file path=docProps/custom.xml><?xml version="1.0" encoding="utf-8"?>
<Properties xmlns="http://schemas.openxmlformats.org/officeDocument/2006/custom-properties" xmlns:vt="http://schemas.openxmlformats.org/officeDocument/2006/docPropsVTypes"/>
</file>