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0B1D3A"/>
          <w:sz w:val="36"/>
          <w:szCs w:val="36"/>
        </w:rPr>
        <w:t xml:space="preserve">DENTAL PRACTICE POLICY</w:t>
      </w:r>
    </w:p>
    <w:p>
      <w:pPr>
        <w:spacing w:after="100"/>
        <w:jc w:val="center"/>
      </w:pPr>
      <w:r>
        <w:rPr>
          <w:rFonts w:ascii="Arial" w:cs="Arial" w:eastAsia="Arial" w:hAnsi="Arial"/>
          <w:b/>
          <w:bCs/>
          <w:color w:val="D4AF37"/>
          <w:sz w:val="28"/>
          <w:szCs w:val="28"/>
        </w:rPr>
        <w:t xml:space="preserve">Whistleblowing (Raising Concerns) Policy</w:t>
      </w:r>
    </w:p>
    <w:p>
      <w:pPr>
        <w:pBdr>
          <w:bottom w:val="single" w:color="D4AF37" w:sz="6" w:space="1"/>
        </w:pBdr>
        <w:spacing w:after="200" w:before="200"/>
      </w:pPr>
    </w:p>
    <w:p>
      <w:pPr>
        <w:spacing w:after="60"/>
      </w:pPr>
      <w:r>
        <w:rPr>
          <w:rFonts w:ascii="Arial" w:cs="Arial" w:eastAsia="Arial" w:hAnsi="Arial"/>
          <w:b/>
          <w:bCs/>
          <w:color w:val="0B1D3A"/>
          <w:sz w:val="20"/>
          <w:szCs w:val="20"/>
        </w:rPr>
        <w:t xml:space="preserve">Reference: </w:t>
      </w:r>
      <w:r>
        <w:rPr>
          <w:rFonts w:ascii="Arial" w:cs="Arial" w:eastAsia="Arial" w:hAnsi="Arial"/>
          <w:color w:val="333333"/>
          <w:sz w:val="20"/>
          <w:szCs w:val="20"/>
        </w:rPr>
        <w:t xml:space="preserve">BS-POL-DENT-007</w:t>
      </w:r>
    </w:p>
    <w:p>
      <w:pPr>
        <w:spacing w:after="60"/>
      </w:pPr>
      <w:r>
        <w:rPr>
          <w:rFonts w:ascii="Arial" w:cs="Arial" w:eastAsia="Arial" w:hAnsi="Arial"/>
          <w:b/>
          <w:bCs/>
          <w:color w:val="0B1D3A"/>
          <w:sz w:val="20"/>
          <w:szCs w:val="20"/>
        </w:rPr>
        <w:t xml:space="preserve">Version: </w:t>
      </w:r>
      <w:r>
        <w:rPr>
          <w:rFonts w:ascii="Arial" w:cs="Arial" w:eastAsia="Arial" w:hAnsi="Arial"/>
          <w:color w:val="333333"/>
          <w:sz w:val="20"/>
          <w:szCs w:val="20"/>
        </w:rPr>
        <w:t xml:space="preserve">1.0</w:t>
      </w:r>
    </w:p>
    <w:p>
      <w:pPr>
        <w:spacing w:after="60"/>
      </w:pPr>
      <w:r>
        <w:rPr>
          <w:rFonts w:ascii="Arial" w:cs="Arial" w:eastAsia="Arial" w:hAnsi="Arial"/>
          <w:b/>
          <w:bCs/>
          <w:color w:val="0B1D3A"/>
          <w:sz w:val="20"/>
          <w:szCs w:val="20"/>
        </w:rPr>
        <w:t xml:space="preserve">Effective Date: </w:t>
      </w:r>
      <w:r>
        <w:rPr>
          <w:rFonts w:ascii="Arial" w:cs="Arial" w:eastAsia="Arial" w:hAnsi="Arial"/>
          <w:color w:val="333333"/>
          <w:sz w:val="20"/>
          <w:szCs w:val="20"/>
        </w:rPr>
        <w:t xml:space="preserve">[Insert Date]</w:t>
      </w:r>
    </w:p>
    <w:p>
      <w:pPr>
        <w:spacing w:after="60"/>
      </w:pPr>
      <w:r>
        <w:rPr>
          <w:rFonts w:ascii="Arial" w:cs="Arial" w:eastAsia="Arial" w:hAnsi="Arial"/>
          <w:b/>
          <w:bCs/>
          <w:color w:val="0B1D3A"/>
          <w:sz w:val="20"/>
          <w:szCs w:val="20"/>
        </w:rPr>
        <w:t xml:space="preserve">Review Date: </w:t>
      </w:r>
      <w:r>
        <w:rPr>
          <w:rFonts w:ascii="Arial" w:cs="Arial" w:eastAsia="Arial" w:hAnsi="Arial"/>
          <w:color w:val="333333"/>
          <w:sz w:val="20"/>
          <w:szCs w:val="20"/>
        </w:rPr>
        <w:t xml:space="preserve">[Insert Date + 12 months]</w:t>
      </w:r>
    </w:p>
    <w:p>
      <w:pPr>
        <w:spacing w:after="60"/>
      </w:pPr>
      <w:r>
        <w:rPr>
          <w:rFonts w:ascii="Arial" w:cs="Arial" w:eastAsia="Arial" w:hAnsi="Arial"/>
          <w:b/>
          <w:bCs/>
          <w:color w:val="0B1D3A"/>
          <w:sz w:val="20"/>
          <w:szCs w:val="20"/>
        </w:rPr>
        <w:t xml:space="preserve">Policy Owner: </w:t>
      </w:r>
      <w:r>
        <w:rPr>
          <w:rFonts w:ascii="Arial" w:cs="Arial" w:eastAsia="Arial" w:hAnsi="Arial"/>
          <w:color w:val="333333"/>
          <w:sz w:val="20"/>
          <w:szCs w:val="20"/>
        </w:rPr>
        <w:t xml:space="preserve">[Insert Name / Practice Manager]</w:t>
      </w:r>
    </w:p>
    <w:p>
      <w:pPr>
        <w:spacing w:after="60"/>
      </w:pPr>
      <w:r>
        <w:rPr>
          <w:rFonts w:ascii="Arial" w:cs="Arial" w:eastAsia="Arial" w:hAnsi="Arial"/>
          <w:b/>
          <w:bCs/>
          <w:color w:val="0B1D3A"/>
          <w:sz w:val="20"/>
          <w:szCs w:val="20"/>
        </w:rPr>
        <w:t xml:space="preserve">Practice: </w:t>
      </w:r>
      <w:r>
        <w:rPr>
          <w:rFonts w:ascii="Arial" w:cs="Arial" w:eastAsia="Arial" w:hAnsi="Arial"/>
          <w:color w:val="333333"/>
          <w:sz w:val="20"/>
          <w:szCs w:val="20"/>
        </w:rPr>
        <w:t xml:space="preserve">[Insert Practice Name &amp; Address]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 PURPOSE</w:t>
      </w:r>
    </w:p>
    <w:p>
      <w:pPr>
        <w:spacing w:after="80"/>
      </w:pPr>
      <w:r>
        <w:rPr>
          <w:rFonts w:ascii="Arial" w:cs="Arial" w:eastAsia="Arial" w:hAnsi="Arial"/>
          <w:color w:val="333333"/>
          <w:sz w:val="20"/>
          <w:szCs w:val="20"/>
        </w:rPr>
        <w:t xml:space="preserve">This policy provides a clear framework for all staff to raise genuine concerns about wrongdoing, malpractice, patient safety, or illegal activity without fear of reprisal, in accordance with the Public Interest Disclosure Act 1998 (PIDA), the Employment Rights Act 1996 (as amended), GDC Standards for the Dental Team (Standard 8 – Raising Concerns), and CQC expectations.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2. SCOPE</w:t>
      </w:r>
    </w:p>
    <w:p>
      <w:pPr>
        <w:spacing w:after="80"/>
      </w:pPr>
      <w:r>
        <w:rPr>
          <w:rFonts w:ascii="Arial" w:cs="Arial" w:eastAsia="Arial" w:hAnsi="Arial"/>
          <w:color w:val="333333"/>
          <w:sz w:val="20"/>
          <w:szCs w:val="20"/>
        </w:rPr>
        <w:t xml:space="preserve">This policy applies to all employees, workers, agency staff, locums, contractors, volunteers, and trainees. It covers disclosures about activities that may constitute a criminal offence, a failure to comply with a legal obligation, a miscarriage of justice, a health and safety danger, environmental damage, or deliberate concealment of any of the above.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3. RELEVANT LEGISLATION &amp; GUIDANCE</w:t>
      </w:r>
    </w:p>
    <w:p>
      <w:pPr>
        <w:pStyle w:val="ListParagraph"/>
        <w:numPr>
          <w:ilvl w:val="0"/>
          <w:numId w:val="2"/>
        </w:numPr>
        <w:spacing w:after="40"/>
      </w:pPr>
      <w:r>
        <w:rPr>
          <w:rFonts w:ascii="Arial" w:cs="Arial" w:eastAsia="Arial" w:hAnsi="Arial"/>
          <w:color w:val="333333"/>
          <w:sz w:val="20"/>
          <w:szCs w:val="20"/>
        </w:rPr>
        <w:t xml:space="preserve">Public Interest Disclosure Act 1998 (PIDA)</w:t>
      </w:r>
    </w:p>
    <w:p>
      <w:pPr>
        <w:pStyle w:val="ListParagraph"/>
        <w:numPr>
          <w:ilvl w:val="0"/>
          <w:numId w:val="2"/>
        </w:numPr>
        <w:spacing w:after="40"/>
      </w:pPr>
      <w:r>
        <w:rPr>
          <w:rFonts w:ascii="Arial" w:cs="Arial" w:eastAsia="Arial" w:hAnsi="Arial"/>
          <w:color w:val="333333"/>
          <w:sz w:val="20"/>
          <w:szCs w:val="20"/>
        </w:rPr>
        <w:t xml:space="preserve">Employment Rights Act 1996 (as amended) – protection of whistleblowers</w:t>
      </w:r>
    </w:p>
    <w:p>
      <w:pPr>
        <w:pStyle w:val="ListParagraph"/>
        <w:numPr>
          <w:ilvl w:val="0"/>
          <w:numId w:val="2"/>
        </w:numPr>
        <w:spacing w:after="40"/>
      </w:pPr>
      <w:r>
        <w:rPr>
          <w:rFonts w:ascii="Arial" w:cs="Arial" w:eastAsia="Arial" w:hAnsi="Arial"/>
          <w:color w:val="333333"/>
          <w:sz w:val="20"/>
          <w:szCs w:val="20"/>
        </w:rPr>
        <w:t xml:space="preserve">GDC Standards for the Dental Team (2013) – Standard 8 (Raising Concerns)</w:t>
      </w:r>
    </w:p>
    <w:p>
      <w:pPr>
        <w:pStyle w:val="ListParagraph"/>
        <w:numPr>
          <w:ilvl w:val="0"/>
          <w:numId w:val="2"/>
        </w:numPr>
        <w:spacing w:after="40"/>
      </w:pPr>
      <w:r>
        <w:rPr>
          <w:rFonts w:ascii="Arial" w:cs="Arial" w:eastAsia="Arial" w:hAnsi="Arial"/>
          <w:color w:val="333333"/>
          <w:sz w:val="20"/>
          <w:szCs w:val="20"/>
        </w:rPr>
        <w:t xml:space="preserve">CQC Fundamental Standards – Regulation 20 (Duty of Candour) &amp; general whistleblowing expectations</w:t>
      </w:r>
    </w:p>
    <w:p>
      <w:pPr>
        <w:pStyle w:val="ListParagraph"/>
        <w:numPr>
          <w:ilvl w:val="0"/>
          <w:numId w:val="2"/>
        </w:numPr>
        <w:spacing w:after="40"/>
      </w:pPr>
      <w:r>
        <w:rPr>
          <w:rFonts w:ascii="Arial" w:cs="Arial" w:eastAsia="Arial" w:hAnsi="Arial"/>
          <w:color w:val="333333"/>
          <w:sz w:val="20"/>
          <w:szCs w:val="20"/>
        </w:rPr>
        <w:t xml:space="preserve">NHS England Freedom to Speak Up (FTSU) guidance (where applicable to NHS contracts)</w:t>
      </w:r>
    </w:p>
    <w:p>
      <w:pPr>
        <w:pStyle w:val="ListParagraph"/>
        <w:numPr>
          <w:ilvl w:val="0"/>
          <w:numId w:val="2"/>
        </w:numPr>
        <w:spacing w:after="40"/>
      </w:pPr>
      <w:r>
        <w:rPr>
          <w:rFonts w:ascii="Arial" w:cs="Arial" w:eastAsia="Arial" w:hAnsi="Arial"/>
          <w:color w:val="333333"/>
          <w:sz w:val="20"/>
          <w:szCs w:val="20"/>
        </w:rPr>
        <w:t xml:space="preserve">Health and Safety at Work etc. Act 1974</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4. POLICY STATEMENT</w:t>
      </w:r>
    </w:p>
    <w:p>
      <w:pPr>
        <w:spacing w:after="80"/>
      </w:pPr>
      <w:r>
        <w:rPr>
          <w:rFonts w:ascii="Arial" w:cs="Arial" w:eastAsia="Arial" w:hAnsi="Arial"/>
          <w:color w:val="333333"/>
          <w:sz w:val="20"/>
          <w:szCs w:val="20"/>
        </w:rPr>
        <w:t xml:space="preserve">The practice encourages an open culture where staff feel safe to raise concerns. No individual who raises a genuine concern in good faith shall be subjected to detrimental treatment, harassment, victimisation, or dismissal, regardless of the outcome of the concern. Raising a concern is not the same as making a complaint about personal grievances (which are handled under the Grievance Procedure).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5. WHAT TO RAISE</w:t>
      </w:r>
    </w:p>
    <w:p>
      <w:pPr>
        <w:spacing w:after="80"/>
      </w:pPr>
      <w:r>
        <w:rPr>
          <w:rFonts w:ascii="Arial" w:cs="Arial" w:eastAsia="Arial" w:hAnsi="Arial"/>
          <w:color w:val="333333"/>
          <w:sz w:val="20"/>
          <w:szCs w:val="20"/>
        </w:rPr>
        <w:t xml:space="preserve">Staff should raise concerns if they reasonably believe that one or more of the following has occurred, is occurring, or is likely to occur:</w:t>
      </w:r>
    </w:p>
    <w:p>
      <w:pPr>
        <w:pStyle w:val="ListParagraph"/>
        <w:numPr>
          <w:ilvl w:val="0"/>
          <w:numId w:val="2"/>
        </w:numPr>
        <w:spacing w:after="40"/>
      </w:pPr>
      <w:r>
        <w:rPr>
          <w:rFonts w:ascii="Arial" w:cs="Arial" w:eastAsia="Arial" w:hAnsi="Arial"/>
          <w:color w:val="333333"/>
          <w:sz w:val="20"/>
          <w:szCs w:val="20"/>
        </w:rPr>
        <w:t xml:space="preserve">A criminal offence (e.g. fraud, theft, assault).</w:t>
      </w:r>
    </w:p>
    <w:p>
      <w:pPr>
        <w:pStyle w:val="ListParagraph"/>
        <w:numPr>
          <w:ilvl w:val="0"/>
          <w:numId w:val="2"/>
        </w:numPr>
        <w:spacing w:after="40"/>
      </w:pPr>
      <w:r>
        <w:rPr>
          <w:rFonts w:ascii="Arial" w:cs="Arial" w:eastAsia="Arial" w:hAnsi="Arial"/>
          <w:color w:val="333333"/>
          <w:sz w:val="20"/>
          <w:szCs w:val="20"/>
        </w:rPr>
        <w:t xml:space="preserve">A failure to comply with a legal or regulatory obligation (e.g. CQC, GDC, HMRC, Health and Safety).</w:t>
      </w:r>
    </w:p>
    <w:p>
      <w:pPr>
        <w:pStyle w:val="ListParagraph"/>
        <w:numPr>
          <w:ilvl w:val="0"/>
          <w:numId w:val="2"/>
        </w:numPr>
        <w:spacing w:after="40"/>
      </w:pPr>
      <w:r>
        <w:rPr>
          <w:rFonts w:ascii="Arial" w:cs="Arial" w:eastAsia="Arial" w:hAnsi="Arial"/>
          <w:color w:val="333333"/>
          <w:sz w:val="20"/>
          <w:szCs w:val="20"/>
        </w:rPr>
        <w:t xml:space="preserve">A risk to patient safety or quality of care.</w:t>
      </w:r>
    </w:p>
    <w:p>
      <w:pPr>
        <w:pStyle w:val="ListParagraph"/>
        <w:numPr>
          <w:ilvl w:val="0"/>
          <w:numId w:val="2"/>
        </w:numPr>
        <w:spacing w:after="40"/>
      </w:pPr>
      <w:r>
        <w:rPr>
          <w:rFonts w:ascii="Arial" w:cs="Arial" w:eastAsia="Arial" w:hAnsi="Arial"/>
          <w:color w:val="333333"/>
          <w:sz w:val="20"/>
          <w:szCs w:val="20"/>
        </w:rPr>
        <w:t xml:space="preserve">Abuse or neglect of patients (including safeguarding concerns).</w:t>
      </w:r>
    </w:p>
    <w:p>
      <w:pPr>
        <w:pStyle w:val="ListParagraph"/>
        <w:numPr>
          <w:ilvl w:val="0"/>
          <w:numId w:val="2"/>
        </w:numPr>
        <w:spacing w:after="40"/>
      </w:pPr>
      <w:r>
        <w:rPr>
          <w:rFonts w:ascii="Arial" w:cs="Arial" w:eastAsia="Arial" w:hAnsi="Arial"/>
          <w:color w:val="333333"/>
          <w:sz w:val="20"/>
          <w:szCs w:val="20"/>
        </w:rPr>
        <w:t xml:space="preserve">Damage to the environment.</w:t>
      </w:r>
    </w:p>
    <w:p>
      <w:pPr>
        <w:pStyle w:val="ListParagraph"/>
        <w:numPr>
          <w:ilvl w:val="0"/>
          <w:numId w:val="2"/>
        </w:numPr>
        <w:spacing w:after="40"/>
      </w:pPr>
      <w:r>
        <w:rPr>
          <w:rFonts w:ascii="Arial" w:cs="Arial" w:eastAsia="Arial" w:hAnsi="Arial"/>
          <w:color w:val="333333"/>
          <w:sz w:val="20"/>
          <w:szCs w:val="20"/>
        </w:rPr>
        <w:t xml:space="preserve">Deliberate concealment of any of the above.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6. HOW TO RAISE A CONCERN</w:t>
      </w:r>
    </w:p>
    <w:p>
      <w:pPr>
        <w:pStyle w:val="ListParagraph"/>
        <w:numPr>
          <w:ilvl w:val="0"/>
          <w:numId w:val="3"/>
        </w:numPr>
        <w:spacing w:after="40"/>
      </w:pPr>
      <w:r>
        <w:rPr>
          <w:rFonts w:ascii="Arial" w:cs="Arial" w:eastAsia="Arial" w:hAnsi="Arial"/>
          <w:color w:val="333333"/>
          <w:sz w:val="20"/>
          <w:szCs w:val="20"/>
        </w:rPr>
        <w:t xml:space="preserve">Internal (first step): Raise the concern with the Practice Principal or Practice Manager: [Insert Name]. If the concern relates to these individuals, proceed to step 2.</w:t>
      </w:r>
    </w:p>
    <w:p>
      <w:pPr>
        <w:pStyle w:val="ListParagraph"/>
        <w:numPr>
          <w:ilvl w:val="0"/>
          <w:numId w:val="3"/>
        </w:numPr>
        <w:spacing w:after="40"/>
      </w:pPr>
      <w:r>
        <w:rPr>
          <w:rFonts w:ascii="Arial" w:cs="Arial" w:eastAsia="Arial" w:hAnsi="Arial"/>
          <w:color w:val="333333"/>
          <w:sz w:val="20"/>
          <w:szCs w:val="20"/>
        </w:rPr>
        <w:t xml:space="preserve">Internal (escalation): Raise the concern with the designated Freedom to Speak Up Guardian (if appointed): [Insert Name], or another senior clinician.</w:t>
      </w:r>
    </w:p>
    <w:p>
      <w:pPr>
        <w:pStyle w:val="ListParagraph"/>
        <w:numPr>
          <w:ilvl w:val="0"/>
          <w:numId w:val="3"/>
        </w:numPr>
        <w:spacing w:after="40"/>
      </w:pPr>
      <w:r>
        <w:rPr>
          <w:rFonts w:ascii="Arial" w:cs="Arial" w:eastAsia="Arial" w:hAnsi="Arial"/>
          <w:color w:val="333333"/>
          <w:sz w:val="20"/>
          <w:szCs w:val="20"/>
        </w:rPr>
        <w:t xml:space="preserve">External (if internal routes exhausted or inappropriate): Report to the relevant external body: CQC (03000 616161), GDC (020 7167 6000), NHS England (for NHS contract concerns), Health and Safety Executive, Police (for criminal matters).</w:t>
      </w:r>
    </w:p>
    <w:p>
      <w:pPr>
        <w:spacing w:after="80"/>
      </w:pPr>
      <w:r>
        <w:rPr>
          <w:rFonts w:ascii="Arial" w:cs="Arial" w:eastAsia="Arial" w:hAnsi="Arial"/>
          <w:color w:val="333333"/>
          <w:sz w:val="20"/>
          <w:szCs w:val="20"/>
        </w:rPr>
        <w:t xml:space="preserve">Concerns may be raised verbally or in writing (letter, email). Anonymous disclosures will be considered but may be more difficult to investigate. Staff are encouraged to provide their identity, which will be kept confidential to the extent possible.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7. INVESTIGATION</w:t>
      </w:r>
    </w:p>
    <w:p>
      <w:pPr>
        <w:spacing w:after="80"/>
      </w:pPr>
      <w:r>
        <w:rPr>
          <w:rFonts w:ascii="Arial" w:cs="Arial" w:eastAsia="Arial" w:hAnsi="Arial"/>
          <w:color w:val="333333"/>
          <w:sz w:val="20"/>
          <w:szCs w:val="20"/>
        </w:rPr>
        <w:t xml:space="preserve">All concerns raised shall be taken seriously and investigated promptly. The investigation shall be proportionate to the nature of the concern. The person raising the concern shall be kept informed of progress and outcome (subject to confidentiality and legal constraints). An investigation may include: document review, interviews, external expert consultation, or referral to an external body.</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8. PROTECTIONS</w:t>
      </w:r>
    </w:p>
    <w:p>
      <w:pPr>
        <w:pStyle w:val="ListParagraph"/>
        <w:numPr>
          <w:ilvl w:val="0"/>
          <w:numId w:val="2"/>
        </w:numPr>
        <w:spacing w:after="40"/>
      </w:pPr>
      <w:r>
        <w:rPr>
          <w:rFonts w:ascii="Arial" w:cs="Arial" w:eastAsia="Arial" w:hAnsi="Arial"/>
          <w:color w:val="333333"/>
          <w:sz w:val="20"/>
          <w:szCs w:val="20"/>
        </w:rPr>
        <w:t xml:space="preserve">The Public Interest Disclosure Act 1998 protects workers who make qualifying disclosures in the public interest.</w:t>
      </w:r>
    </w:p>
    <w:p>
      <w:pPr>
        <w:pStyle w:val="ListParagraph"/>
        <w:numPr>
          <w:ilvl w:val="0"/>
          <w:numId w:val="2"/>
        </w:numPr>
        <w:spacing w:after="40"/>
      </w:pPr>
      <w:r>
        <w:rPr>
          <w:rFonts w:ascii="Arial" w:cs="Arial" w:eastAsia="Arial" w:hAnsi="Arial"/>
          <w:color w:val="333333"/>
          <w:sz w:val="20"/>
          <w:szCs w:val="20"/>
        </w:rPr>
        <w:t xml:space="preserve">No staff member shall suffer any detriment (disciplinary action, dismissal, demotion, bullying, or any other disadvantage) for raising a genuine concern in good faith.</w:t>
      </w:r>
    </w:p>
    <w:p>
      <w:pPr>
        <w:pStyle w:val="ListParagraph"/>
        <w:numPr>
          <w:ilvl w:val="0"/>
          <w:numId w:val="2"/>
        </w:numPr>
        <w:spacing w:after="40"/>
      </w:pPr>
      <w:r>
        <w:rPr>
          <w:rFonts w:ascii="Arial" w:cs="Arial" w:eastAsia="Arial" w:hAnsi="Arial"/>
          <w:color w:val="333333"/>
          <w:sz w:val="20"/>
          <w:szCs w:val="20"/>
        </w:rPr>
        <w:t xml:space="preserve">If a staff member believes they have been subjected to detriment as a result of raising a concern, they should report this immediately to the Practice Principal or an external body.</w:t>
      </w:r>
    </w:p>
    <w:p>
      <w:pPr>
        <w:pStyle w:val="ListParagraph"/>
        <w:numPr>
          <w:ilvl w:val="0"/>
          <w:numId w:val="2"/>
        </w:numPr>
        <w:spacing w:after="40"/>
      </w:pPr>
      <w:r>
        <w:rPr>
          <w:rFonts w:ascii="Arial" w:cs="Arial" w:eastAsia="Arial" w:hAnsi="Arial"/>
          <w:color w:val="333333"/>
          <w:sz w:val="20"/>
          <w:szCs w:val="20"/>
        </w:rPr>
        <w:t xml:space="preserve">Malicious or deliberately false allegations made with the intent to cause harm may result in disciplinary action.</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9. RECORD KEEPING</w:t>
      </w:r>
    </w:p>
    <w:p>
      <w:pPr>
        <w:spacing w:after="80"/>
      </w:pPr>
      <w:r>
        <w:rPr>
          <w:rFonts w:ascii="Arial" w:cs="Arial" w:eastAsia="Arial" w:hAnsi="Arial"/>
          <w:color w:val="333333"/>
          <w:sz w:val="20"/>
          <w:szCs w:val="20"/>
        </w:rPr>
        <w:t xml:space="preserve">A confidential log of all concerns raised, investigations conducted, outcomes, and actions taken shall be maintained by the Practice Principal. This log shall be reviewed annually to identify systemic issues and ensure timely resolution.</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10. REVIEW</w:t>
      </w:r>
    </w:p>
    <w:p>
      <w:pPr>
        <w:spacing w:after="80"/>
      </w:pPr>
      <w:r>
        <w:rPr>
          <w:rFonts w:ascii="Arial" w:cs="Arial" w:eastAsia="Arial" w:hAnsi="Arial"/>
          <w:color w:val="333333"/>
          <w:sz w:val="20"/>
          <w:szCs w:val="20"/>
        </w:rPr>
        <w:t xml:space="preserve">This policy shall be reviewed annually, or following a whistleblowing event, CQC inspection, or changes to relevant legislation.</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VERSION CONTROL</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000"/>
        <w:gridCol w:w="6678"/>
      </w:tblGrid>
      <w:tr>
        <w:tc>
          <w:tcPr>
            <w:tcW w:type="dxa" w:w="2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Version</w:t>
            </w:r>
          </w:p>
        </w:tc>
        <w:tc>
          <w:tcPr>
            <w:tcW w:type="dxa" w:w="2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Date</w:t>
            </w:r>
          </w:p>
        </w:tc>
        <w:tc>
          <w:tcPr>
            <w:tcW w:type="dxa" w:w="4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Author</w:t>
            </w:r>
          </w:p>
        </w:tc>
        <w:tc>
          <w:tcPr>
            <w:tcW w:type="dxa" w:w="6678"/>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Changes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1.0</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[Insert Date]</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[Insert Name]</w:t>
            </w:r>
          </w:p>
        </w:tc>
        <w:tc>
          <w:tcPr>
            <w:tcW w:type="dxa" w:w="6678"/>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Initial policy creation</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APPROVAL &amp; SIGN-OFF</w:t>
      </w:r>
    </w:p>
    <w:p>
      <w:pPr>
        <w:spacing w:after="80"/>
      </w:pPr>
      <w:r>
        <w:rPr>
          <w:rFonts w:ascii="Arial" w:cs="Arial" w:eastAsia="Arial" w:hAnsi="Arial"/>
          <w:color w:val="333333"/>
          <w:sz w:val="20"/>
          <w:szCs w:val="20"/>
        </w:rPr>
        <w:t xml:space="preserve">I confirm that this policy has been reviewed, is compliant with current legislation and regulatory requirements, and is approved for implementation within the practice.</w:t>
      </w:r>
    </w:p>
    <w:p>
      <w:pPr>
        <w:spacing w:before="2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3669"/>
        <w:gridCol w:w="3670"/>
        <w:gridCol w:w="3670"/>
      </w:tblGrid>
      <w:tr>
        <w:tc>
          <w:tcPr>
            <w:tcW w:type="dxa" w:w="3669"/>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Approved By:</w:t>
            </w:r>
          </w:p>
          <w:p>
            <w:pPr>
              <w:spacing w:after="0"/>
            </w:pPr>
            <w:r>
              <w:rPr>
                <w:rFonts w:ascii="Arial" w:cs="Arial" w:eastAsia="Arial" w:hAnsi="Arial"/>
                <w:i/>
                <w:iCs/>
                <w:color w:val="999999"/>
                <w:sz w:val="18"/>
                <w:szCs w:val="18"/>
              </w:rPr>
              <w:t xml:space="preserve">[Insert Name]</w:t>
            </w:r>
          </w:p>
        </w:tc>
        <w:tc>
          <w:tcPr>
            <w:tcW w:type="dxa" w:w="3669"/>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Position:</w:t>
            </w:r>
          </w:p>
          <w:p>
            <w:pPr>
              <w:spacing w:after="0"/>
            </w:pPr>
            <w:r>
              <w:rPr>
                <w:rFonts w:ascii="Arial" w:cs="Arial" w:eastAsia="Arial" w:hAnsi="Arial"/>
                <w:i/>
                <w:iCs/>
                <w:color w:val="999999"/>
                <w:sz w:val="18"/>
                <w:szCs w:val="18"/>
              </w:rPr>
              <w:t xml:space="preserve">[Insert Name]</w:t>
            </w:r>
          </w:p>
        </w:tc>
        <w:tc>
          <w:tcPr>
            <w:tcW w:type="dxa" w:w="3670"/>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Date:</w:t>
            </w:r>
          </w:p>
          <w:p>
            <w:pPr>
              <w:spacing w:after="0"/>
            </w:pPr>
            <w:r>
              <w:rPr>
                <w:rFonts w:ascii="Arial" w:cs="Arial" w:eastAsia="Arial" w:hAnsi="Arial"/>
                <w:i/>
                <w:iCs/>
                <w:color w:val="999999"/>
                <w:sz w:val="18"/>
                <w:szCs w:val="18"/>
              </w:rPr>
              <w:t xml:space="preserve">[Insert Name]</w:t>
            </w:r>
          </w:p>
        </w:tc>
        <w:tc>
          <w:tcPr>
            <w:tcW w:type="dxa" w:w="3670"/>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Review Date:</w:t>
            </w:r>
          </w:p>
          <w:p>
            <w:pPr>
              <w:spacing w:after="0"/>
            </w:pPr>
            <w:r>
              <w:rPr>
                <w:rFonts w:ascii="Arial" w:cs="Arial" w:eastAsia="Arial" w:hAnsi="Arial"/>
                <w:i/>
                <w:iCs/>
                <w:color w:val="999999"/>
                <w:sz w:val="18"/>
                <w:szCs w:val="18"/>
              </w:rPr>
              <w:t xml:space="preserve">[Insert Name]</w:t>
            </w:r>
          </w:p>
        </w:tc>
      </w:tr>
    </w:tbl>
    <w:p>
      <w:pPr>
        <w:spacing w:before="200"/>
      </w:pPr>
    </w:p>
    <w:p>
      <w:pPr>
        <w:spacing w:after="120" w:before="300"/>
      </w:pPr>
      <w:r>
        <w:rPr>
          <w:rFonts w:ascii="Arial" w:cs="Arial" w:eastAsia="Arial" w:hAnsi="Arial"/>
          <w:b/>
          <w:bCs/>
          <w:color w:val="0B1D3A"/>
          <w:sz w:val="24"/>
          <w:szCs w:val="24"/>
        </w:rPr>
        <w:t xml:space="preserve">STAFF ACKNOWLEDGEMENT</w:t>
      </w:r>
    </w:p>
    <w:p>
      <w:pPr>
        <w:spacing w:after="80"/>
      </w:pPr>
      <w:r>
        <w:rPr>
          <w:rFonts w:ascii="Arial" w:cs="Arial" w:eastAsia="Arial" w:hAnsi="Arial"/>
          <w:color w:val="333333"/>
          <w:sz w:val="20"/>
          <w:szCs w:val="20"/>
        </w:rPr>
        <w:t xml:space="preserve">All staff must read this policy, confirm understanding, and sign below. A copy of this signed page must be retained in the staff training file.</w:t>
      </w:r>
    </w:p>
    <w:p>
      <w:pPr>
        <w:spacing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3000"/>
        <w:gridCol w:w="4678"/>
      </w:tblGrid>
      <w:tr>
        <w:tc>
          <w:tcPr>
            <w:tcW w:type="dxa" w:w="4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Name (Print)</w:t>
            </w:r>
          </w:p>
        </w:tc>
        <w:tc>
          <w:tcPr>
            <w:tcW w:type="dxa" w:w="3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Role</w:t>
            </w:r>
          </w:p>
        </w:tc>
        <w:tc>
          <w:tcPr>
            <w:tcW w:type="dxa" w:w="3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Signature</w:t>
            </w:r>
          </w:p>
        </w:tc>
        <w:tc>
          <w:tcPr>
            <w:tcW w:type="dxa" w:w="4678"/>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Date</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bl>
    <w:p>
      <w:pPr>
        <w:spacing w:before="300"/>
      </w:pPr>
    </w:p>
    <w:p>
      <w:pPr>
        <w:jc w:val="center"/>
      </w:pPr>
      <w:r>
        <w:rPr>
          <w:rFonts w:ascii="Arial" w:cs="Arial" w:eastAsia="Arial" w:hAnsi="Arial"/>
          <w:i/>
          <w:iCs/>
          <w:color w:val="999999"/>
          <w:sz w:val="16"/>
          <w:szCs w:val="16"/>
        </w:rPr>
        <w:t xml:space="preserve">© Barker Scott. All rights reserved. This document is confidential and intended for the sole use of the named dental practice.</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9026"/>
      </w:tabs>
      <w:spacing w:before="80"/>
    </w:pPr>
    <w:r>
      <w:rPr>
        <w:rFonts w:ascii="Arial" w:cs="Arial" w:eastAsia="Arial" w:hAnsi="Arial"/>
        <w:color w:val="0B1D3A"/>
        <w:sz w:val="16"/>
        <w:szCs w:val="16"/>
      </w:rPr>
      <w:t xml:space="preserve">BS-POL-DENT-007 – Whistleblowing (Raising Concerns) Policy  |  barker-scott.co.uk  |  Confidential</w:t>
    </w:r>
    <w:r>
      <w:t xml:space="preserve">	</w:t>
    </w:r>
    <w:r>
      <w:rPr>
        <w:rFonts w:ascii="Arial" w:cs="Arial" w:eastAsia="Arial" w:hAnsi="Arial"/>
        <w:color w:val="0B1D3A"/>
        <w:sz w:val="16"/>
        <w:szCs w:val="16"/>
      </w:rPr>
      <w:t xml:space="preserve">Page </w:t>
    </w:r>
    <w:r>
      <w:rPr>
        <w:rFonts w:ascii="Arial" w:cs="Arial" w:eastAsia="Arial" w:hAnsi="Arial"/>
        <w:color w:val="0B1D3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left"/>
    </w:pPr>
    <w:r>
      <w:rPr>
        <w:rFonts w:ascii="Arial" w:cs="Arial" w:eastAsia="Arial" w:hAnsi="Arial"/>
        <w:b/>
        <w:bCs/>
        <w:color w:val="0B1D3A"/>
        <w:sz w:val="28"/>
        <w:szCs w:val="28"/>
      </w:rPr>
      <w:t xml:space="preserve">BARKER SCOTT</w:t>
    </w:r>
    <w:r>
      <w:rPr>
        <w:rFonts w:ascii="Arial" w:cs="Arial" w:eastAsia="Arial" w:hAnsi="Arial"/>
        <w:color w:val="D4AF37"/>
        <w:sz w:val="28"/>
        <w:szCs w:val="28"/>
      </w:rPr>
      <w:t xml:space="preserve">  |  </w:t>
    </w:r>
    <w:r>
      <w:rPr>
        <w:rFonts w:ascii="Arial" w:cs="Arial" w:eastAsia="Arial" w:hAnsi="Arial"/>
        <w:color w:val="0B1D3A"/>
        <w:sz w:val="22"/>
        <w:szCs w:val="22"/>
      </w:rPr>
      <w:t xml:space="preserve">Dental Practice Compliance</w:t>
    </w:r>
  </w:p>
  <w:p>
    <w:pPr>
      <w:pBdr>
        <w:bottom w:val="single" w:color="D4AF37" w:sz="6" w:space="1"/>
      </w:pBdr>
      <w:spacing w:after="1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2026-05-15T11:49:03.900Z</dcterms:created>
  <dcterms:modified xsi:type="dcterms:W3CDTF">2026-05-15T11:49:03.900Z</dcterms:modified>
</cp:coreProperties>
</file>

<file path=docProps/custom.xml><?xml version="1.0" encoding="utf-8"?>
<Properties xmlns="http://schemas.openxmlformats.org/officeDocument/2006/custom-properties" xmlns:vt="http://schemas.openxmlformats.org/officeDocument/2006/docPropsVTypes"/>
</file>