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COMPLAINTS HANDLING</w:t>
      </w:r>
    </w:p>
    <w:p>
      <w:pPr>
        <w:spacing w:after="20"/>
        <w:jc w:val="center"/>
      </w:pPr>
      <w:r>
        <w:rPr>
          <w:rFonts w:ascii="Arial" w:cs="Arial" w:eastAsia="Arial" w:hAnsi="Arial"/>
          <w:i/>
          <w:iCs/>
          <w:color w:val="6B7280"/>
          <w:sz w:val="22"/>
          <w:szCs w:val="22"/>
        </w:rPr>
        <w:t xml:space="preserve">Managing complaints, concerns, and feedback to improve patient experience and services</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BS-POL-CH-008</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welcomes complaints, concerns, comments, and compliments as an essential source of feedback that drives continuous improvement. The practice is committed to handling all complaints in a timely, fair, open, and transparent manner, in accordance with the NHS Complaints Regulations and the principles of the Parliamentary and Health Service Ombudsman’s ‘Principles of Good Complaint Handling’. No patient or complainant shall be treated adversely as a result of making a complaint.</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framework for receiving, acknowledging, investigating, and resolving complaints and concerns raised by patients, carers, and members of the public.</w:t>
      </w:r>
    </w:p>
    <w:p>
      <w:pPr>
        <w:spacing w:after="80" w:before="60"/>
        <w:jc w:val="both"/>
      </w:pPr>
      <w:r>
        <w:rPr>
          <w:rFonts w:ascii="Arial" w:cs="Arial" w:eastAsia="Arial" w:hAnsi="Arial"/>
          <w:color w:val="2D2D2D"/>
          <w:sz w:val="21"/>
          <w:szCs w:val="21"/>
        </w:rPr>
        <w:t xml:space="preserve">The policy ensures compliance with the Local Authority Social Services and National Health Service Complaints (England) Regulations 2009, the NHS Constitution, and CQC Regulation 16 (Receiving and Acting on Complaints).</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complaints, concerns, suggestions, and compliments relating to services provided by the practice</w:t>
      </w:r>
    </w:p>
    <w:p>
      <w:pPr>
        <w:pStyle w:val="ListParagraph"/>
        <w:numPr>
          <w:ilvl w:val="0"/>
          <w:numId w:val="2"/>
        </w:numPr>
        <w:spacing w:after="40" w:before="40"/>
      </w:pPr>
      <w:r>
        <w:rPr>
          <w:rFonts w:ascii="Arial" w:cs="Arial" w:eastAsia="Arial" w:hAnsi="Arial"/>
          <w:color w:val="2D2D2D"/>
          <w:sz w:val="20"/>
          <w:szCs w:val="20"/>
        </w:rPr>
        <w:t xml:space="preserve">Complaints received from patients, former patients, patient representatives, carers, and members of the public</w:t>
      </w:r>
    </w:p>
    <w:p>
      <w:pPr>
        <w:pStyle w:val="ListParagraph"/>
        <w:numPr>
          <w:ilvl w:val="0"/>
          <w:numId w:val="2"/>
        </w:numPr>
        <w:spacing w:after="40" w:before="40"/>
      </w:pPr>
      <w:r>
        <w:rPr>
          <w:rFonts w:ascii="Arial" w:cs="Arial" w:eastAsia="Arial" w:hAnsi="Arial"/>
          <w:color w:val="2D2D2D"/>
          <w:sz w:val="20"/>
          <w:szCs w:val="20"/>
        </w:rPr>
        <w:t xml:space="preserve">Complaints received verbally, in writing, by email, or through the NHS website</w:t>
      </w:r>
    </w:p>
    <w:p>
      <w:pPr>
        <w:pStyle w:val="ListParagraph"/>
        <w:numPr>
          <w:ilvl w:val="0"/>
          <w:numId w:val="2"/>
        </w:numPr>
        <w:spacing w:after="40" w:before="40"/>
      </w:pPr>
      <w:r>
        <w:rPr>
          <w:rFonts w:ascii="Arial" w:cs="Arial" w:eastAsia="Arial" w:hAnsi="Arial"/>
          <w:color w:val="2D2D2D"/>
          <w:sz w:val="20"/>
          <w:szCs w:val="20"/>
        </w:rPr>
        <w:t xml:space="preserve">All staff, who may be the subject of or involved in the resolution of a complaint</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Complaint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 expression of dissatisfaction with a service, action, or lack of action by the practice or its staff, requiring a formal response.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Concern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 issue raised informally that can be resolved quickly at the point of contact, without the need for a formal investigation.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PHSO</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Parliamentary and Health Service Ombudsman – the independent body that investigates complaints about the NHS in England that have not been resolved locally.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Duty of Candour</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professional and regulatory obligation to be open and honest with patients when something goes wrong (CQC Regulation 20).</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The Local Authority Social Services and National Health Service Complaints (England) Regulations 2009 (SI 2009/309)</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16 – Receiving and Acting on Complaints; Regulation 20 – Duty of Candour)</w:t>
      </w:r>
    </w:p>
    <w:p>
      <w:pPr>
        <w:pStyle w:val="ListParagraph"/>
        <w:numPr>
          <w:ilvl w:val="0"/>
          <w:numId w:val="2"/>
        </w:numPr>
        <w:spacing w:after="40" w:before="40"/>
      </w:pPr>
      <w:r>
        <w:rPr>
          <w:rFonts w:ascii="Arial" w:cs="Arial" w:eastAsia="Arial" w:hAnsi="Arial"/>
          <w:color w:val="2D2D2D"/>
          <w:sz w:val="20"/>
          <w:szCs w:val="20"/>
        </w:rPr>
        <w:t xml:space="preserve">The NHS Constitution for England (2023) – Patient Rights and Pledges</w:t>
      </w:r>
    </w:p>
    <w:p>
      <w:pPr>
        <w:pStyle w:val="ListParagraph"/>
        <w:numPr>
          <w:ilvl w:val="0"/>
          <w:numId w:val="2"/>
        </w:numPr>
        <w:spacing w:after="40" w:before="40"/>
      </w:pPr>
      <w:r>
        <w:rPr>
          <w:rFonts w:ascii="Arial" w:cs="Arial" w:eastAsia="Arial" w:hAnsi="Arial"/>
          <w:color w:val="2D2D2D"/>
          <w:sz w:val="20"/>
          <w:szCs w:val="20"/>
        </w:rPr>
        <w:t xml:space="preserve">Parliamentary and Health Service Ombudsman – Principles of Good Complaint Handling (2009)</w:t>
      </w:r>
    </w:p>
    <w:p>
      <w:pPr>
        <w:pStyle w:val="ListParagraph"/>
        <w:numPr>
          <w:ilvl w:val="0"/>
          <w:numId w:val="2"/>
        </w:numPr>
        <w:spacing w:after="40" w:before="40"/>
      </w:pPr>
      <w:r>
        <w:rPr>
          <w:rFonts w:ascii="Arial" w:cs="Arial" w:eastAsia="Arial" w:hAnsi="Arial"/>
          <w:color w:val="2D2D2D"/>
          <w:sz w:val="20"/>
          <w:szCs w:val="20"/>
        </w:rPr>
        <w:t xml:space="preserve">Data Protection Act 2018 / UK GDPR (handling personal data within complaints)</w:t>
      </w:r>
    </w:p>
    <w:p>
      <w:pPr>
        <w:pStyle w:val="ListParagraph"/>
        <w:numPr>
          <w:ilvl w:val="0"/>
          <w:numId w:val="2"/>
        </w:numPr>
        <w:spacing w:after="40" w:before="40"/>
      </w:pPr>
      <w:r>
        <w:rPr>
          <w:rFonts w:ascii="Arial" w:cs="Arial" w:eastAsia="Arial" w:hAnsi="Arial"/>
          <w:color w:val="2D2D2D"/>
          <w:sz w:val="20"/>
          <w:szCs w:val="20"/>
        </w:rPr>
        <w:t xml:space="preserve">Equality Act 2010 (ensuring complaint process is accessible to all)</w:t>
      </w:r>
    </w:p>
    <w:p>
      <w:pPr>
        <w:pStyle w:val="ListParagraph"/>
        <w:numPr>
          <w:ilvl w:val="0"/>
          <w:numId w:val="2"/>
        </w:numPr>
        <w:spacing w:after="40" w:before="40"/>
      </w:pPr>
      <w:r>
        <w:rPr>
          <w:rFonts w:ascii="Arial" w:cs="Arial" w:eastAsia="Arial" w:hAnsi="Arial"/>
          <w:color w:val="2D2D2D"/>
          <w:sz w:val="20"/>
          <w:szCs w:val="20"/>
        </w:rPr>
        <w:t xml:space="preserve">NHS England Complaints Standards Framework (2022)</w:t>
      </w:r>
    </w:p>
    <w:p>
      <w:pPr>
        <w:pStyle w:val="ListParagraph"/>
        <w:numPr>
          <w:ilvl w:val="0"/>
          <w:numId w:val="2"/>
        </w:numPr>
        <w:spacing w:after="40" w:before="40"/>
      </w:pPr>
      <w:r>
        <w:rPr>
          <w:rFonts w:ascii="Arial" w:cs="Arial" w:eastAsia="Arial" w:hAnsi="Arial"/>
          <w:color w:val="2D2D2D"/>
          <w:sz w:val="20"/>
          <w:szCs w:val="20"/>
        </w:rPr>
        <w:t xml:space="preserve">GMC/NMC Professional Standards on Responding to Complaints</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Complaints Manager (Practice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Overseeing the complaints process; receiving and acknowledging complaints; coordinating investigations; drafting responses; maintaining complaints log; reporting trends to partners; liaising with PHSO and NHS England; ensuring learning is shared.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Senior Partner / Lead GP</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Signing formal complaint responses; reviewing and approving investigation findings; ensuring duty of candour is discharged; overseeing complaints at governance meetings; escalating systemic issues.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Investigating Officer (Appointed per complaint)</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Conducting a thorough, fair, and impartial investigation; gathering evidence; interviewing relevant staff; preparing investigation report; identifying learning and recommendations.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Treating complainants with respect and empathy; attempting to resolve concerns at the point of contact; escalating unresolved concerns to the Complaints Manager; cooperating fully with investigations; applying learning from complaints.</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Receiving Complaints</w:t>
      </w:r>
    </w:p>
    <w:p>
      <w:pPr>
        <w:spacing w:after="80" w:before="60"/>
        <w:jc w:val="both"/>
      </w:pPr>
      <w:r>
        <w:rPr>
          <w:rFonts w:ascii="Arial" w:cs="Arial" w:eastAsia="Arial" w:hAnsi="Arial"/>
          <w:color w:val="2D2D2D"/>
          <w:sz w:val="21"/>
          <w:szCs w:val="21"/>
        </w:rPr>
        <w:t xml:space="preserve">Complaints may be made by any person affected by or likely to be affected by the practice’s services, or by a representative acting on their behalf (with appropriate consent or authority). The practice shall accept complaints made verbally (in person or by telephone), in writing (letter), by email, or through the NHS website feedback system.</w:t>
      </w:r>
    </w:p>
    <w:p>
      <w:pPr>
        <w:spacing w:after="80" w:before="60"/>
        <w:jc w:val="both"/>
      </w:pPr>
      <w:r>
        <w:rPr>
          <w:rFonts w:ascii="Arial" w:cs="Arial" w:eastAsia="Arial" w:hAnsi="Arial"/>
          <w:color w:val="2D2D2D"/>
          <w:sz w:val="21"/>
          <w:szCs w:val="21"/>
        </w:rPr>
        <w:t xml:space="preserve">The practice shall ensure that information about the complaints procedure is readily available: displayed in the waiting area; published on the practice website; included in the new patient registration pack; and available in alternative formats on request (large print, easy read, other languages).</w:t>
      </w:r>
    </w:p>
    <w:p>
      <w:pPr>
        <w:spacing w:after="80" w:before="60"/>
        <w:jc w:val="both"/>
      </w:pPr>
      <w:r>
        <w:rPr>
          <w:rFonts w:ascii="Arial" w:cs="Arial" w:eastAsia="Arial" w:hAnsi="Arial"/>
          <w:color w:val="2D2D2D"/>
          <w:sz w:val="21"/>
          <w:szCs w:val="21"/>
        </w:rPr>
        <w:t xml:space="preserve">Where a person expresses dissatisfaction but does not wish to make a formal complaint, the concern shall be recorded and, where possible, resolved immediately. The person shall be informed of their right to make a formal complaint if they wish to do so.</w:t>
      </w:r>
    </w:p>
    <w:p>
      <w:pPr>
        <w:pStyle w:val="Heading2"/>
        <w:spacing w:after="80" w:before="240"/>
      </w:pPr>
      <w:r>
        <w:rPr>
          <w:rFonts w:ascii="Arial" w:cs="Arial" w:eastAsia="Arial" w:hAnsi="Arial"/>
          <w:b/>
          <w:bCs/>
          <w:color w:val="0B1D3A"/>
          <w:sz w:val="24"/>
          <w:szCs w:val="24"/>
        </w:rPr>
        <w:t xml:space="preserve">7.2 Acknowledgement and Timescales</w:t>
      </w:r>
    </w:p>
    <w:p>
      <w:pPr>
        <w:spacing w:after="80" w:before="60"/>
        <w:jc w:val="both"/>
      </w:pPr>
      <w:r>
        <w:rPr>
          <w:rFonts w:ascii="Arial" w:cs="Arial" w:eastAsia="Arial" w:hAnsi="Arial"/>
          <w:color w:val="2D2D2D"/>
          <w:sz w:val="21"/>
          <w:szCs w:val="21"/>
        </w:rPr>
        <w:t xml:space="preserve">All formal complaints shall be acknowledged within three working days of receipt, in accordance with the NHS Complaints Regulations 2009. The acknowledgement shall: confirm receipt of the complaint; summarise the issues raised; explain the investigation process; provide an estimated timescale for the response (normally within 25 working days); and name the Complaints Manager as the point of contact.</w:t>
      </w:r>
    </w:p>
    <w:p>
      <w:pPr>
        <w:spacing w:after="80" w:before="60"/>
        <w:jc w:val="both"/>
      </w:pPr>
      <w:r>
        <w:rPr>
          <w:rFonts w:ascii="Arial" w:cs="Arial" w:eastAsia="Arial" w:hAnsi="Arial"/>
          <w:color w:val="2D2D2D"/>
          <w:sz w:val="21"/>
          <w:szCs w:val="21"/>
        </w:rPr>
        <w:t xml:space="preserve">Where the investigation requires longer than 25 working days, the complainant shall be informed of the reason for the delay and given an updated timescale. The practice shall aim to resolve all complaints as quickly as possible while ensuring thoroughness.</w:t>
      </w:r>
    </w:p>
    <w:p>
      <w:pPr>
        <w:spacing w:after="80" w:before="60"/>
        <w:jc w:val="both"/>
      </w:pPr>
      <w:r>
        <w:rPr>
          <w:rFonts w:ascii="Arial" w:cs="Arial" w:eastAsia="Arial" w:hAnsi="Arial"/>
          <w:color w:val="2D2D2D"/>
          <w:sz w:val="21"/>
          <w:szCs w:val="21"/>
        </w:rPr>
        <w:t xml:space="preserve">The practice shall offer the complainant a choice of how they wish to receive the response (letter, email, or meeting) and shall ascertain the outcome they are seeking.</w:t>
      </w:r>
    </w:p>
    <w:p>
      <w:pPr>
        <w:pStyle w:val="Heading2"/>
        <w:spacing w:after="80" w:before="240"/>
      </w:pPr>
      <w:r>
        <w:rPr>
          <w:rFonts w:ascii="Arial" w:cs="Arial" w:eastAsia="Arial" w:hAnsi="Arial"/>
          <w:b/>
          <w:bCs/>
          <w:color w:val="0B1D3A"/>
          <w:sz w:val="24"/>
          <w:szCs w:val="24"/>
        </w:rPr>
        <w:t xml:space="preserve">7.3 Investigation</w:t>
      </w:r>
    </w:p>
    <w:p>
      <w:pPr>
        <w:spacing w:after="80" w:before="60"/>
        <w:jc w:val="both"/>
      </w:pPr>
      <w:r>
        <w:rPr>
          <w:rFonts w:ascii="Arial" w:cs="Arial" w:eastAsia="Arial" w:hAnsi="Arial"/>
          <w:color w:val="2D2D2D"/>
          <w:sz w:val="21"/>
          <w:szCs w:val="21"/>
        </w:rPr>
        <w:t xml:space="preserve">Each complaint shall be investigated proportionately to the seriousness and complexity of the issues raised. The Complaints Manager shall appoint an Investigating Officer who has no personal involvement in the matters complained about.</w:t>
      </w:r>
    </w:p>
    <w:p>
      <w:pPr>
        <w:spacing w:after="80" w:before="60"/>
        <w:jc w:val="both"/>
      </w:pPr>
      <w:r>
        <w:rPr>
          <w:rFonts w:ascii="Arial" w:cs="Arial" w:eastAsia="Arial" w:hAnsi="Arial"/>
          <w:color w:val="2D2D2D"/>
          <w:sz w:val="21"/>
          <w:szCs w:val="21"/>
        </w:rPr>
        <w:t xml:space="preserve">The investigation shall include: review of the clinical record and relevant documentation; interviews with staff involved; review of relevant policies and procedures; and consideration of any relevant clinical guidance or standards. Clinical complaints shall include input from a clinician with relevant expertise.</w:t>
      </w:r>
    </w:p>
    <w:p>
      <w:pPr>
        <w:spacing w:after="80" w:before="60"/>
        <w:jc w:val="both"/>
      </w:pPr>
      <w:r>
        <w:rPr>
          <w:rFonts w:ascii="Arial" w:cs="Arial" w:eastAsia="Arial" w:hAnsi="Arial"/>
          <w:color w:val="2D2D2D"/>
          <w:sz w:val="21"/>
          <w:szCs w:val="21"/>
        </w:rPr>
        <w:t xml:space="preserve">Staff who are the subject of a complaint shall be informed, treated fairly, and given the opportunity to provide their account. The practice shall ensure that staff are supported throughout the process.</w:t>
      </w:r>
    </w:p>
    <w:p>
      <w:pPr>
        <w:pStyle w:val="Heading2"/>
        <w:spacing w:after="80" w:before="240"/>
      </w:pPr>
      <w:r>
        <w:rPr>
          <w:rFonts w:ascii="Arial" w:cs="Arial" w:eastAsia="Arial" w:hAnsi="Arial"/>
          <w:b/>
          <w:bCs/>
          <w:color w:val="0B1D3A"/>
          <w:sz w:val="24"/>
          <w:szCs w:val="24"/>
        </w:rPr>
        <w:t xml:space="preserve">7.4 Response and Resolution</w:t>
      </w:r>
    </w:p>
    <w:p>
      <w:pPr>
        <w:spacing w:after="80" w:before="60"/>
        <w:jc w:val="both"/>
      </w:pPr>
      <w:r>
        <w:rPr>
          <w:rFonts w:ascii="Arial" w:cs="Arial" w:eastAsia="Arial" w:hAnsi="Arial"/>
          <w:color w:val="2D2D2D"/>
          <w:sz w:val="21"/>
          <w:szCs w:val="21"/>
        </w:rPr>
        <w:t xml:space="preserve">The formal written response shall be signed by the Senior Partner (or nominated deputy) and shall: address each point of the complaint; explain the findings of the investigation factually and honestly; acknowledge any failures or shortcomings; offer an apology where appropriate (an apology is not an admission of liability – Compensation Act 2006, Section 2); describe the actions taken or planned to prevent recurrence; and inform the complainant of their right to escalate to the PHSO if they remain dissatisfied.</w:t>
      </w:r>
    </w:p>
    <w:p>
      <w:pPr>
        <w:spacing w:after="80" w:before="60"/>
        <w:jc w:val="both"/>
      </w:pPr>
      <w:r>
        <w:rPr>
          <w:rFonts w:ascii="Arial" w:cs="Arial" w:eastAsia="Arial" w:hAnsi="Arial"/>
          <w:color w:val="2D2D2D"/>
          <w:sz w:val="21"/>
          <w:szCs w:val="21"/>
        </w:rPr>
        <w:t xml:space="preserve">Where the complaint involves a clinical issue or patient safety concern, the principles of Duty of Candour (CQC Regulation 20) shall be applied: the patient shall be told when something has gone wrong; a full explanation shall be offered; an apology shall be given; and practical support shall be provided.</w:t>
      </w:r>
    </w:p>
    <w:p>
      <w:pPr>
        <w:pStyle w:val="Heading2"/>
        <w:spacing w:after="80" w:before="240"/>
      </w:pPr>
      <w:r>
        <w:rPr>
          <w:rFonts w:ascii="Arial" w:cs="Arial" w:eastAsia="Arial" w:hAnsi="Arial"/>
          <w:b/>
          <w:bCs/>
          <w:color w:val="0B1D3A"/>
          <w:sz w:val="24"/>
          <w:szCs w:val="24"/>
        </w:rPr>
        <w:t xml:space="preserve">7.5 Escalation and External Review</w:t>
      </w:r>
    </w:p>
    <w:p>
      <w:pPr>
        <w:spacing w:after="80" w:before="60"/>
        <w:jc w:val="both"/>
      </w:pPr>
      <w:r>
        <w:rPr>
          <w:rFonts w:ascii="Arial" w:cs="Arial" w:eastAsia="Arial" w:hAnsi="Arial"/>
          <w:color w:val="2D2D2D"/>
          <w:sz w:val="21"/>
          <w:szCs w:val="21"/>
        </w:rPr>
        <w:t xml:space="preserve">If the complainant is not satisfied with the practice’s response, they shall be advised of their right to refer the complaint to the Parliamentary and Health Service Ombudsman (PHSO). The practice shall cooperate fully with any PHSO investigation.</w:t>
      </w:r>
    </w:p>
    <w:p>
      <w:pPr>
        <w:spacing w:after="80" w:before="60"/>
        <w:jc w:val="both"/>
      </w:pPr>
      <w:r>
        <w:rPr>
          <w:rFonts w:ascii="Arial" w:cs="Arial" w:eastAsia="Arial" w:hAnsi="Arial"/>
          <w:color w:val="2D2D2D"/>
          <w:sz w:val="21"/>
          <w:szCs w:val="21"/>
        </w:rPr>
        <w:t xml:space="preserve">The practice shall also inform complainants of the availability of independent advocacy services through the NHS Complaints Advocacy Service, which can support them throughout the complaints process.</w:t>
      </w:r>
    </w:p>
    <w:p>
      <w:pPr>
        <w:pStyle w:val="Heading2"/>
        <w:spacing w:after="80" w:before="240"/>
      </w:pPr>
      <w:r>
        <w:rPr>
          <w:rFonts w:ascii="Arial" w:cs="Arial" w:eastAsia="Arial" w:hAnsi="Arial"/>
          <w:b/>
          <w:bCs/>
          <w:color w:val="0B1D3A"/>
          <w:sz w:val="24"/>
          <w:szCs w:val="24"/>
        </w:rPr>
        <w:t xml:space="preserve">7.6 Learning from Complaints</w:t>
      </w:r>
    </w:p>
    <w:p>
      <w:pPr>
        <w:spacing w:after="80" w:before="60"/>
        <w:jc w:val="both"/>
      </w:pPr>
      <w:r>
        <w:rPr>
          <w:rFonts w:ascii="Arial" w:cs="Arial" w:eastAsia="Arial" w:hAnsi="Arial"/>
          <w:color w:val="2D2D2D"/>
          <w:sz w:val="21"/>
          <w:szCs w:val="21"/>
        </w:rPr>
        <w:t xml:space="preserve">The practice views complaints as opportunities for learning and improvement. Following each investigation, the Complaints Manager shall identify specific actions and learning points. These shall be: communicated to relevant staff; incorporated into training and development; reflected in policy or procedure changes where appropriate; and recorded on the complaints log.</w:t>
      </w:r>
    </w:p>
    <w:p>
      <w:pPr>
        <w:spacing w:after="80" w:before="60"/>
        <w:jc w:val="both"/>
      </w:pPr>
      <w:r>
        <w:rPr>
          <w:rFonts w:ascii="Arial" w:cs="Arial" w:eastAsia="Arial" w:hAnsi="Arial"/>
          <w:color w:val="2D2D2D"/>
          <w:sz w:val="21"/>
          <w:szCs w:val="21"/>
        </w:rPr>
        <w:t xml:space="preserve">An anonymised quarterly complaints summary shall be reviewed at the practice’s clinical governance meeting, identifying trends, themes, and systemic issues. An annual complaints report shall be produced and shared with the partnership/board, summarising: number and nature of complaints; outcomes; actions taken; and improvements made.</w:t>
      </w:r>
    </w:p>
    <w:p>
      <w:pPr>
        <w:pStyle w:val="Heading2"/>
        <w:spacing w:after="80" w:before="240"/>
      </w:pPr>
      <w:r>
        <w:rPr>
          <w:rFonts w:ascii="Arial" w:cs="Arial" w:eastAsia="Arial" w:hAnsi="Arial"/>
          <w:b/>
          <w:bCs/>
          <w:color w:val="0B1D3A"/>
          <w:sz w:val="24"/>
          <w:szCs w:val="24"/>
        </w:rPr>
        <w:t xml:space="preserve">7.7 Vexatious and Abusive Complaints</w:t>
      </w:r>
    </w:p>
    <w:p>
      <w:pPr>
        <w:spacing w:after="80" w:before="60"/>
        <w:jc w:val="both"/>
      </w:pPr>
      <w:r>
        <w:rPr>
          <w:rFonts w:ascii="Arial" w:cs="Arial" w:eastAsia="Arial" w:hAnsi="Arial"/>
          <w:color w:val="2D2D2D"/>
          <w:sz w:val="21"/>
          <w:szCs w:val="21"/>
        </w:rPr>
        <w:t xml:space="preserve">In rare cases where a complainant’s behaviour is persistently unreasonable, abusive, or vexatious, the practice may invoke its Unreasonable Complainant Policy. This shall only be applied as a last resort, with the approval of the Senior Partner, and shall not affect the complainant’s right to access NHS services or to escalate their complaint to the PHSO.</w:t>
      </w:r>
    </w:p>
    <w:p>
      <w:pPr>
        <w:pStyle w:val="Heading2"/>
        <w:spacing w:after="80" w:before="240"/>
      </w:pPr>
      <w:r>
        <w:rPr>
          <w:rFonts w:ascii="Arial" w:cs="Arial" w:eastAsia="Arial" w:hAnsi="Arial"/>
          <w:b/>
          <w:bCs/>
          <w:color w:val="0B1D3A"/>
          <w:sz w:val="24"/>
          <w:szCs w:val="24"/>
        </w:rPr>
        <w:t xml:space="preserve">7.8 Confidentiality and Record-Keeping</w:t>
      </w:r>
    </w:p>
    <w:p>
      <w:pPr>
        <w:spacing w:after="80" w:before="60"/>
        <w:jc w:val="both"/>
      </w:pPr>
      <w:r>
        <w:rPr>
          <w:rFonts w:ascii="Arial" w:cs="Arial" w:eastAsia="Arial" w:hAnsi="Arial"/>
          <w:color w:val="2D2D2D"/>
          <w:sz w:val="21"/>
          <w:szCs w:val="21"/>
        </w:rPr>
        <w:t xml:space="preserve">All complaints shall be handled in the strictest confidence. Personal data within complaints shall be processed in accordance with the Data Protection Act 2018 / UK GDPR. Complaint records shall be stored separately from clinical records and retained for a minimum of 10 years in accordance with the NHS Records Management Code of Practice.</w:t>
      </w:r>
    </w:p>
    <w:p>
      <w:pPr>
        <w:spacing w:after="80" w:before="60"/>
        <w:jc w:val="both"/>
      </w:pPr>
      <w:r>
        <w:rPr>
          <w:rFonts w:ascii="Arial" w:cs="Arial" w:eastAsia="Arial" w:hAnsi="Arial"/>
          <w:color w:val="2D2D2D"/>
          <w:sz w:val="21"/>
          <w:szCs w:val="21"/>
        </w:rPr>
        <w:t xml:space="preserve">A complaints register shall be maintained, recording: date received, complainant, nature of complaint, investigating officer, date of response, outcome, and actions taken. This register shall be available for CQC inspection.</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staff shall receive training at induction on the practice’s complaints procedure, including how to receive and respond to concerns at the point of contact, and how to escalate unresolved issues.</w:t>
      </w:r>
    </w:p>
    <w:p>
      <w:pPr>
        <w:pStyle w:val="ListParagraph"/>
        <w:numPr>
          <w:ilvl w:val="0"/>
          <w:numId w:val="2"/>
        </w:numPr>
        <w:spacing w:after="40" w:before="40"/>
      </w:pPr>
      <w:r>
        <w:rPr>
          <w:rFonts w:ascii="Arial" w:cs="Arial" w:eastAsia="Arial" w:hAnsi="Arial"/>
          <w:color w:val="2D2D2D"/>
          <w:sz w:val="20"/>
          <w:szCs w:val="20"/>
        </w:rPr>
        <w:t xml:space="preserve">The Complaints Manager shall attend NHS complaints handling training and refresher training at least every two years.</w:t>
      </w:r>
    </w:p>
    <w:p>
      <w:pPr>
        <w:pStyle w:val="ListParagraph"/>
        <w:numPr>
          <w:ilvl w:val="0"/>
          <w:numId w:val="2"/>
        </w:numPr>
        <w:spacing w:after="40" w:before="40"/>
      </w:pPr>
      <w:r>
        <w:rPr>
          <w:rFonts w:ascii="Arial" w:cs="Arial" w:eastAsia="Arial" w:hAnsi="Arial"/>
          <w:color w:val="2D2D2D"/>
          <w:sz w:val="20"/>
          <w:szCs w:val="20"/>
        </w:rPr>
        <w:t xml:space="preserve">All clinical staff shall receive training on the Duty of Candour and its application to complaint handling.</w:t>
      </w:r>
    </w:p>
    <w:p>
      <w:pPr>
        <w:pStyle w:val="ListParagraph"/>
        <w:numPr>
          <w:ilvl w:val="0"/>
          <w:numId w:val="2"/>
        </w:numPr>
        <w:spacing w:after="40" w:before="40"/>
      </w:pPr>
      <w:r>
        <w:rPr>
          <w:rFonts w:ascii="Arial" w:cs="Arial" w:eastAsia="Arial" w:hAnsi="Arial"/>
          <w:color w:val="2D2D2D"/>
          <w:sz w:val="20"/>
          <w:szCs w:val="20"/>
        </w:rPr>
        <w:t xml:space="preserve">Annual awareness sessions shall be held for all staff, incorporating anonymised case studies from complaints and the lessons learned.</w:t>
      </w:r>
    </w:p>
    <w:p>
      <w:pPr>
        <w:pStyle w:val="ListParagraph"/>
        <w:numPr>
          <w:ilvl w:val="0"/>
          <w:numId w:val="2"/>
        </w:numPr>
        <w:spacing w:after="40" w:before="40"/>
      </w:pPr>
      <w:r>
        <w:rPr>
          <w:rFonts w:ascii="Arial" w:cs="Arial" w:eastAsia="Arial" w:hAnsi="Arial"/>
          <w:color w:val="2D2D2D"/>
          <w:sz w:val="20"/>
          <w:szCs w:val="20"/>
        </w:rPr>
        <w:t xml:space="preserve">Reception staff shall receive specific training on handling difficult conversations, de-escalation techniques, and empathetic communication.</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acknowledgement within 3 working days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 complaint</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response within agreed timescale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 complaint</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 complaints trend analysis and report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Clinical governance meeting review of complaints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 complaints report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Complaints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Staff training compliance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complaints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Senior Partner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BS-POL-DP-005 Data Protection and Information Governance Policy</w:t>
      </w:r>
    </w:p>
    <w:p>
      <w:pPr>
        <w:pStyle w:val="ListParagraph"/>
        <w:numPr>
          <w:ilvl w:val="0"/>
          <w:numId w:val="2"/>
        </w:numPr>
        <w:spacing w:after="40" w:before="40"/>
      </w:pPr>
      <w:r>
        <w:rPr>
          <w:rFonts w:ascii="Arial" w:cs="Arial" w:eastAsia="Arial" w:hAnsi="Arial"/>
          <w:color w:val="2D2D2D"/>
          <w:sz w:val="20"/>
          <w:szCs w:val="20"/>
        </w:rPr>
        <w:t xml:space="preserve">Practice Duty of Candour Procedure</w:t>
      </w:r>
    </w:p>
    <w:p>
      <w:pPr>
        <w:pStyle w:val="ListParagraph"/>
        <w:numPr>
          <w:ilvl w:val="0"/>
          <w:numId w:val="2"/>
        </w:numPr>
        <w:spacing w:after="40" w:before="40"/>
      </w:pPr>
      <w:r>
        <w:rPr>
          <w:rFonts w:ascii="Arial" w:cs="Arial" w:eastAsia="Arial" w:hAnsi="Arial"/>
          <w:color w:val="2D2D2D"/>
          <w:sz w:val="20"/>
          <w:szCs w:val="20"/>
        </w:rPr>
        <w:t xml:space="preserve">Practice Significant Event Analysis (SEA) Procedure</w:t>
      </w:r>
    </w:p>
    <w:p>
      <w:pPr>
        <w:pStyle w:val="ListParagraph"/>
        <w:numPr>
          <w:ilvl w:val="0"/>
          <w:numId w:val="2"/>
        </w:numPr>
        <w:spacing w:after="40" w:before="40"/>
      </w:pPr>
      <w:r>
        <w:rPr>
          <w:rFonts w:ascii="Arial" w:cs="Arial" w:eastAsia="Arial" w:hAnsi="Arial"/>
          <w:color w:val="2D2D2D"/>
          <w:sz w:val="20"/>
          <w:szCs w:val="20"/>
        </w:rPr>
        <w:t xml:space="preserve">Practice Unreasonable Complainant Policy</w:t>
      </w:r>
    </w:p>
    <w:p>
      <w:pPr>
        <w:pStyle w:val="ListParagraph"/>
        <w:numPr>
          <w:ilvl w:val="0"/>
          <w:numId w:val="2"/>
        </w:numPr>
        <w:spacing w:after="40" w:before="40"/>
      </w:pPr>
      <w:r>
        <w:rPr>
          <w:rFonts w:ascii="Arial" w:cs="Arial" w:eastAsia="Arial" w:hAnsi="Arial"/>
          <w:color w:val="2D2D2D"/>
          <w:sz w:val="20"/>
          <w:szCs w:val="20"/>
        </w:rPr>
        <w:t xml:space="preserve">Practice Patient Participation Group (PPG) Terms of Reference</w:t>
      </w:r>
    </w:p>
    <w:p>
      <w:pPr>
        <w:pStyle w:val="ListParagraph"/>
        <w:numPr>
          <w:ilvl w:val="0"/>
          <w:numId w:val="2"/>
        </w:numPr>
        <w:spacing w:after="40" w:before="40"/>
      </w:pPr>
      <w:r>
        <w:rPr>
          <w:rFonts w:ascii="Arial" w:cs="Arial" w:eastAsia="Arial" w:hAnsi="Arial"/>
          <w:color w:val="2D2D2D"/>
          <w:sz w:val="20"/>
          <w:szCs w:val="20"/>
        </w:rPr>
        <w:t xml:space="preserve">Practice Whistleblowing (Raising Concerns) Policy</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Practice Manager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BS-POL-CH-008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BS-POL-CH-008  |  Complaints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2026-05-15T12:48:44.263Z</dcterms:created>
  <dcterms:modified xsi:type="dcterms:W3CDTF">2026-05-15T12:48:44.263Z</dcterms:modified>
</cp:coreProperties>
</file>

<file path=docProps/custom.xml><?xml version="1.0" encoding="utf-8"?>
<Properties xmlns="http://schemas.openxmlformats.org/officeDocument/2006/custom-properties" xmlns:vt="http://schemas.openxmlformats.org/officeDocument/2006/docPropsVTypes"/>
</file>