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CONSENT AND CONFIDENTIALITY</w:t>
      </w:r>
    </w:p>
    <w:p>
      <w:pPr>
        <w:spacing w:after="20"/>
        <w:jc w:val="center"/>
      </w:pPr>
      <w:r>
        <w:rPr>
          <w:rFonts w:ascii="Arial" w:cs="Arial" w:eastAsia="Arial" w:hAnsi="Arial"/>
          <w:i/>
          <w:iCs/>
          <w:color w:val="6B7280"/>
          <w:sz w:val="22"/>
          <w:szCs w:val="22"/>
        </w:rPr>
        <w:t xml:space="preserve">Ensuring valid consent and protecting patient confidentiality in general practice</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BS-POL-CC-010</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is committed to ensuring that valid consent is obtained before any examination, treatment, procedure, or disclosure of personal information, and that patient confidentiality is maintained at all times. The practice recognises that consent and confidentiality are fundamental to the trust between clinician and patient and are essential to the delivery of ethical, person-centred care.</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This policy establishes the practice’s framework for obtaining, recording, and reviewing consent, and for maintaining patient confidentiality in accordance with legal, ethical, and professional standards.</w:t>
      </w:r>
    </w:p>
    <w:p>
      <w:pPr>
        <w:spacing w:after="80" w:before="60"/>
        <w:jc w:val="both"/>
      </w:pPr>
      <w:r>
        <w:rPr>
          <w:rFonts w:ascii="Arial" w:cs="Arial" w:eastAsia="Arial" w:hAnsi="Arial"/>
          <w:color w:val="2D2D2D"/>
          <w:sz w:val="21"/>
          <w:szCs w:val="21"/>
        </w:rPr>
        <w:t xml:space="preserve">The policy ensures compliance with common law and statutory requirements, including the Mental Capacity Act 2005, GMC/NMC professional guidance, the Data Protection Act 2018 / UK GDPR, and CQC Regulations 9, 10, and 11.</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w:t>
      </w:r>
    </w:p>
    <w:p>
      <w:pPr>
        <w:pStyle w:val="ListParagraph"/>
        <w:numPr>
          <w:ilvl w:val="0"/>
          <w:numId w:val="2"/>
        </w:numPr>
        <w:spacing w:after="40" w:before="40"/>
      </w:pPr>
      <w:r>
        <w:rPr>
          <w:rFonts w:ascii="Arial" w:cs="Arial" w:eastAsia="Arial" w:hAnsi="Arial"/>
          <w:color w:val="2D2D2D"/>
          <w:sz w:val="20"/>
          <w:szCs w:val="20"/>
        </w:rPr>
        <w:t xml:space="preserve">All clinical interactions, including consultations, examinations, investigations, treatments, procedures, immunisations, and screening</w:t>
      </w:r>
    </w:p>
    <w:p>
      <w:pPr>
        <w:pStyle w:val="ListParagraph"/>
        <w:numPr>
          <w:ilvl w:val="0"/>
          <w:numId w:val="2"/>
        </w:numPr>
        <w:spacing w:after="40" w:before="40"/>
      </w:pPr>
      <w:r>
        <w:rPr>
          <w:rFonts w:ascii="Arial" w:cs="Arial" w:eastAsia="Arial" w:hAnsi="Arial"/>
          <w:color w:val="2D2D2D"/>
          <w:sz w:val="20"/>
          <w:szCs w:val="20"/>
        </w:rPr>
        <w:t xml:space="preserve">All disclosures of patient-identifiable information, whether verbal, written, or electronic</w:t>
      </w:r>
    </w:p>
    <w:p>
      <w:pPr>
        <w:pStyle w:val="ListParagraph"/>
        <w:numPr>
          <w:ilvl w:val="0"/>
          <w:numId w:val="2"/>
        </w:numPr>
        <w:spacing w:after="40" w:before="40"/>
      </w:pPr>
      <w:r>
        <w:rPr>
          <w:rFonts w:ascii="Arial" w:cs="Arial" w:eastAsia="Arial" w:hAnsi="Arial"/>
          <w:color w:val="2D2D2D"/>
          <w:sz w:val="20"/>
          <w:szCs w:val="20"/>
        </w:rPr>
        <w:t xml:space="preserve">All staff, locums, trainees, students, volunteers, and visiting professionals</w:t>
      </w:r>
    </w:p>
    <w:p>
      <w:pPr>
        <w:pStyle w:val="ListParagraph"/>
        <w:numPr>
          <w:ilvl w:val="0"/>
          <w:numId w:val="2"/>
        </w:numPr>
        <w:spacing w:after="40" w:before="40"/>
      </w:pPr>
      <w:r>
        <w:rPr>
          <w:rFonts w:ascii="Arial" w:cs="Arial" w:eastAsia="Arial" w:hAnsi="Arial"/>
          <w:color w:val="2D2D2D"/>
          <w:sz w:val="20"/>
          <w:szCs w:val="20"/>
        </w:rPr>
        <w:t xml:space="preserve">All channels of communication: face-to-face, telephone, video, letter, email, and online</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Valid Consent</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Consent that is given voluntarily by an appropriately informed person who has the capacity to consent to the intervention in question (common law; GMC Guidance ‘Decision Making and Consent’ 2020).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Implied Consent</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Consent inferred from a patient’s actions or conduct (e.g. rolling up a sleeve for blood pressure measurement). Implied consent is only valid for routine, low-risk procedures where the patient is aware of what is being done.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Explicit Consent</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Consent given orally or in writing, where the patient has been given sufficient information to make an informed decision. Required for procedures carrying material risk, for sharing information outside the care team, and for research participation.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Gillick Competence</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The legal principle (Gillick v West Norfolk and Wisbech AHA [1986]) that a child under 16 may consent to medical treatment if they have sufficient understanding and intelligence to fully understand what is proposed.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Fraser Guidelines</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Specific criteria applied when considering whether a young person under 16 can consent to contraceptive advice and treatment, derived from Lord Fraser’s judgment in Gillick.</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Caldicott Principles</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Eight principles governing the use and sharing of patient-identifiable information in the NHS, as revised in 2021.</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Common Law Duty of Confidentiality (AG v Guardian Newspapers [1990]; Campbell v MGN [2004])</w:t>
      </w:r>
    </w:p>
    <w:p>
      <w:pPr>
        <w:pStyle w:val="ListParagraph"/>
        <w:numPr>
          <w:ilvl w:val="0"/>
          <w:numId w:val="2"/>
        </w:numPr>
        <w:spacing w:after="40" w:before="40"/>
      </w:pPr>
      <w:r>
        <w:rPr>
          <w:rFonts w:ascii="Arial" w:cs="Arial" w:eastAsia="Arial" w:hAnsi="Arial"/>
          <w:color w:val="2D2D2D"/>
          <w:sz w:val="20"/>
          <w:szCs w:val="20"/>
        </w:rPr>
        <w:t xml:space="preserve">Mental Capacity Act 2005 (Sections 1–5 – Principles; Sections 24–26 – Advance Decisions)</w:t>
      </w:r>
    </w:p>
    <w:p>
      <w:pPr>
        <w:pStyle w:val="ListParagraph"/>
        <w:numPr>
          <w:ilvl w:val="0"/>
          <w:numId w:val="2"/>
        </w:numPr>
        <w:spacing w:after="40" w:before="40"/>
      </w:pPr>
      <w:r>
        <w:rPr>
          <w:rFonts w:ascii="Arial" w:cs="Arial" w:eastAsia="Arial" w:hAnsi="Arial"/>
          <w:color w:val="2D2D2D"/>
          <w:sz w:val="20"/>
          <w:szCs w:val="20"/>
        </w:rPr>
        <w:t xml:space="preserve">Family Law Reform Act 1969 (Section 8 – Consent by persons over 16)</w:t>
      </w:r>
    </w:p>
    <w:p>
      <w:pPr>
        <w:pStyle w:val="ListParagraph"/>
        <w:numPr>
          <w:ilvl w:val="0"/>
          <w:numId w:val="2"/>
        </w:numPr>
        <w:spacing w:after="40" w:before="40"/>
      </w:pPr>
      <w:r>
        <w:rPr>
          <w:rFonts w:ascii="Arial" w:cs="Arial" w:eastAsia="Arial" w:hAnsi="Arial"/>
          <w:color w:val="2D2D2D"/>
          <w:sz w:val="20"/>
          <w:szCs w:val="20"/>
        </w:rPr>
        <w:t xml:space="preserve">Gillick v West Norfolk and Wisbech Area Health Authority [1986] (Gillick Competence)</w:t>
      </w:r>
    </w:p>
    <w:p>
      <w:pPr>
        <w:pStyle w:val="ListParagraph"/>
        <w:numPr>
          <w:ilvl w:val="0"/>
          <w:numId w:val="2"/>
        </w:numPr>
        <w:spacing w:after="40" w:before="40"/>
      </w:pPr>
      <w:r>
        <w:rPr>
          <w:rFonts w:ascii="Arial" w:cs="Arial" w:eastAsia="Arial" w:hAnsi="Arial"/>
          <w:color w:val="2D2D2D"/>
          <w:sz w:val="20"/>
          <w:szCs w:val="20"/>
        </w:rPr>
        <w:t xml:space="preserve">Data Protection Act 2018 / UK GDPR (lawful processing of personal and health data)</w:t>
      </w:r>
    </w:p>
    <w:p>
      <w:pPr>
        <w:pStyle w:val="ListParagraph"/>
        <w:numPr>
          <w:ilvl w:val="0"/>
          <w:numId w:val="2"/>
        </w:numPr>
        <w:spacing w:after="40" w:before="40"/>
      </w:pPr>
      <w:r>
        <w:rPr>
          <w:rFonts w:ascii="Arial" w:cs="Arial" w:eastAsia="Arial" w:hAnsi="Arial"/>
          <w:color w:val="2D2D2D"/>
          <w:sz w:val="20"/>
          <w:szCs w:val="20"/>
        </w:rPr>
        <w:t xml:space="preserve">The Health and Social Care Act 2008 (Regulated Activities) Regulations 2014 (Regulation 9 – Person-Centred Care; Regulation 10 – Dignity and Respect; Regulation 11 – Need for Consent)</w:t>
      </w:r>
    </w:p>
    <w:p>
      <w:pPr>
        <w:pStyle w:val="ListParagraph"/>
        <w:numPr>
          <w:ilvl w:val="0"/>
          <w:numId w:val="2"/>
        </w:numPr>
        <w:spacing w:after="40" w:before="40"/>
      </w:pPr>
      <w:r>
        <w:rPr>
          <w:rFonts w:ascii="Arial" w:cs="Arial" w:eastAsia="Arial" w:hAnsi="Arial"/>
          <w:color w:val="2D2D2D"/>
          <w:sz w:val="20"/>
          <w:szCs w:val="20"/>
        </w:rPr>
        <w:t xml:space="preserve">GMC Guidance – ‘Decision Making and Consent’ (2020)</w:t>
      </w:r>
    </w:p>
    <w:p>
      <w:pPr>
        <w:pStyle w:val="ListParagraph"/>
        <w:numPr>
          <w:ilvl w:val="0"/>
          <w:numId w:val="2"/>
        </w:numPr>
        <w:spacing w:after="40" w:before="40"/>
      </w:pPr>
      <w:r>
        <w:rPr>
          <w:rFonts w:ascii="Arial" w:cs="Arial" w:eastAsia="Arial" w:hAnsi="Arial"/>
          <w:color w:val="2D2D2D"/>
          <w:sz w:val="20"/>
          <w:szCs w:val="20"/>
        </w:rPr>
        <w:t xml:space="preserve">GMC Guidance – ‘Confidentiality: Good Practice in Handling Patient Information’ (2017)</w:t>
      </w:r>
    </w:p>
    <w:p>
      <w:pPr>
        <w:pStyle w:val="ListParagraph"/>
        <w:numPr>
          <w:ilvl w:val="0"/>
          <w:numId w:val="2"/>
        </w:numPr>
        <w:spacing w:after="40" w:before="40"/>
      </w:pPr>
      <w:r>
        <w:rPr>
          <w:rFonts w:ascii="Arial" w:cs="Arial" w:eastAsia="Arial" w:hAnsi="Arial"/>
          <w:color w:val="2D2D2D"/>
          <w:sz w:val="20"/>
          <w:szCs w:val="20"/>
        </w:rPr>
        <w:t xml:space="preserve">NMC Code of Professional Practice (2018)</w:t>
      </w:r>
    </w:p>
    <w:p>
      <w:pPr>
        <w:pStyle w:val="ListParagraph"/>
        <w:numPr>
          <w:ilvl w:val="0"/>
          <w:numId w:val="2"/>
        </w:numPr>
        <w:spacing w:after="40" w:before="40"/>
      </w:pPr>
      <w:r>
        <w:rPr>
          <w:rFonts w:ascii="Arial" w:cs="Arial" w:eastAsia="Arial" w:hAnsi="Arial"/>
          <w:color w:val="2D2D2D"/>
          <w:sz w:val="20"/>
          <w:szCs w:val="20"/>
        </w:rPr>
        <w:t xml:space="preserve">Montgomery v Lanarkshire Health Board [2015] (duty to inform of material risks)</w:t>
      </w:r>
    </w:p>
    <w:p>
      <w:pPr>
        <w:pStyle w:val="ListParagraph"/>
        <w:numPr>
          <w:ilvl w:val="0"/>
          <w:numId w:val="2"/>
        </w:numPr>
        <w:spacing w:after="40" w:before="40"/>
      </w:pPr>
      <w:r>
        <w:rPr>
          <w:rFonts w:ascii="Arial" w:cs="Arial" w:eastAsia="Arial" w:hAnsi="Arial"/>
          <w:color w:val="2D2D2D"/>
          <w:sz w:val="20"/>
          <w:szCs w:val="20"/>
        </w:rPr>
        <w:t xml:space="preserve">Caldicott Principles (revised 2021 – eight principles)</w:t>
      </w:r>
    </w:p>
    <w:p>
      <w:pPr>
        <w:pStyle w:val="ListParagraph"/>
        <w:numPr>
          <w:ilvl w:val="0"/>
          <w:numId w:val="2"/>
        </w:numPr>
        <w:spacing w:after="40" w:before="40"/>
      </w:pPr>
      <w:r>
        <w:rPr>
          <w:rFonts w:ascii="Arial" w:cs="Arial" w:eastAsia="Arial" w:hAnsi="Arial"/>
          <w:color w:val="2D2D2D"/>
          <w:sz w:val="20"/>
          <w:szCs w:val="20"/>
        </w:rPr>
        <w:t xml:space="preserve">NHS Act 2006 (Section 251 – Control of Patient Information)</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Clinicians (GPs, Nurses, HCAs, Pharmacists)</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Obtaining valid consent before examination, treatment, or procedures; ensuring patients are provided with sufficient information to make informed decisions; assessing capacity where there is doubt; recording consent and capacity assessments in the clinical record; maintaining patient confidentiality.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Caldicott Guardian</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Overseeing patient confidentiality; advising on information sharing decisions; ensuring Caldicott Principles are applied; reviewing breaches of confidentiality; authorising disclosures in complex cases.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Ensuring systems support consent and confidentiality (e.g. private consultation spaces, secure communications); managing staff confidentiality agreements; coordinating subject access requests; supporting consent and confidentiality training.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Maintaining the confidentiality of all patient information; not accessing records without a legitimate purpose; reporting breaches of confidentiality; completing mandatory training; signing confidentiality agreement at employment and annually.</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Principles of Valid Consent</w:t>
      </w:r>
    </w:p>
    <w:p>
      <w:pPr>
        <w:spacing w:after="80" w:before="60"/>
        <w:jc w:val="both"/>
      </w:pPr>
      <w:r>
        <w:rPr>
          <w:rFonts w:ascii="Arial" w:cs="Arial" w:eastAsia="Arial" w:hAnsi="Arial"/>
          <w:color w:val="2D2D2D"/>
          <w:sz w:val="21"/>
          <w:szCs w:val="21"/>
        </w:rPr>
        <w:t xml:space="preserve">For consent to be valid, the following three conditions must be met:</w:t>
      </w:r>
    </w:p>
    <w:p>
      <w:pPr>
        <w:pStyle w:val="ListParagraph"/>
        <w:numPr>
          <w:ilvl w:val="0"/>
          <w:numId w:val="3"/>
        </w:numPr>
        <w:spacing w:after="40" w:before="40"/>
      </w:pPr>
      <w:r>
        <w:rPr>
          <w:rFonts w:ascii="Arial" w:cs="Arial" w:eastAsia="Arial" w:hAnsi="Arial"/>
          <w:color w:val="2D2D2D"/>
          <w:sz w:val="20"/>
          <w:szCs w:val="20"/>
        </w:rPr>
        <w:t xml:space="preserve">Capacity: the patient has the ability to understand, retain, weigh, and communicate a decision. Capacity is decision-specific and time-specific (Mental Capacity Act 2005, Section 3).</w:t>
      </w:r>
    </w:p>
    <w:p>
      <w:pPr>
        <w:pStyle w:val="ListParagraph"/>
        <w:numPr>
          <w:ilvl w:val="0"/>
          <w:numId w:val="3"/>
        </w:numPr>
        <w:spacing w:after="40" w:before="40"/>
      </w:pPr>
      <w:r>
        <w:rPr>
          <w:rFonts w:ascii="Arial" w:cs="Arial" w:eastAsia="Arial" w:hAnsi="Arial"/>
          <w:color w:val="2D2D2D"/>
          <w:sz w:val="20"/>
          <w:szCs w:val="20"/>
        </w:rPr>
        <w:t xml:space="preserve">Information: the patient has been given sufficient information about the nature, purpose, benefits, risks (including material risks – Montgomery v Lanarkshire [2015]), alternatives, and consequences of refusal, presented in a way they can understand.</w:t>
      </w:r>
    </w:p>
    <w:p>
      <w:pPr>
        <w:pStyle w:val="ListParagraph"/>
        <w:numPr>
          <w:ilvl w:val="0"/>
          <w:numId w:val="3"/>
        </w:numPr>
        <w:spacing w:after="40" w:before="40"/>
      </w:pPr>
      <w:r>
        <w:rPr>
          <w:rFonts w:ascii="Arial" w:cs="Arial" w:eastAsia="Arial" w:hAnsi="Arial"/>
          <w:color w:val="2D2D2D"/>
          <w:sz w:val="20"/>
          <w:szCs w:val="20"/>
        </w:rPr>
        <w:t xml:space="preserve">Voluntariness: the decision is made freely, without undue influence, coercion, or pressure from healthcare professionals, family, or others.</w:t>
      </w:r>
    </w:p>
    <w:p>
      <w:pPr>
        <w:spacing w:after="80" w:before="60"/>
        <w:jc w:val="both"/>
      </w:pPr>
      <w:r>
        <w:rPr>
          <w:rFonts w:ascii="Arial" w:cs="Arial" w:eastAsia="Arial" w:hAnsi="Arial"/>
          <w:color w:val="2D2D2D"/>
          <w:sz w:val="21"/>
          <w:szCs w:val="21"/>
        </w:rPr>
        <w:t xml:space="preserve">Consent is a process, not a one-time event. It shall be revisited if the patient’s circumstances change, if new treatment options become available, or if a significant period has elapsed since consent was originally given.</w:t>
      </w:r>
    </w:p>
    <w:p>
      <w:pPr>
        <w:pStyle w:val="Heading2"/>
        <w:spacing w:after="80" w:before="240"/>
      </w:pPr>
      <w:r>
        <w:rPr>
          <w:rFonts w:ascii="Arial" w:cs="Arial" w:eastAsia="Arial" w:hAnsi="Arial"/>
          <w:b/>
          <w:bCs/>
          <w:color w:val="0B1D3A"/>
          <w:sz w:val="24"/>
          <w:szCs w:val="24"/>
        </w:rPr>
        <w:t xml:space="preserve">7.2 Forms of Consent</w:t>
      </w:r>
    </w:p>
    <w:p>
      <w:pPr>
        <w:spacing w:after="80" w:before="60"/>
        <w:jc w:val="both"/>
      </w:pPr>
      <w:r>
        <w:rPr>
          <w:rFonts w:ascii="Arial" w:cs="Arial" w:eastAsia="Arial" w:hAnsi="Arial"/>
          <w:b/>
          <w:bCs/>
          <w:color w:val="2D2D2D"/>
          <w:sz w:val="21"/>
          <w:szCs w:val="21"/>
        </w:rPr>
        <w:t xml:space="preserve">Implied consent:</w:t>
      </w:r>
    </w:p>
    <w:p>
      <w:pPr>
        <w:spacing w:after="80" w:before="60"/>
        <w:jc w:val="both"/>
      </w:pPr>
      <w:r>
        <w:rPr>
          <w:rFonts w:ascii="Arial" w:cs="Arial" w:eastAsia="Arial" w:hAnsi="Arial"/>
          <w:color w:val="2D2D2D"/>
          <w:sz w:val="21"/>
          <w:szCs w:val="21"/>
        </w:rPr>
        <w:t xml:space="preserve">Acceptable for routine, low-risk clinical activities where the patient’s actions clearly indicate agreement (e.g. presenting for a blood pressure check). Staff shall still explain what they are about to do.</w:t>
      </w:r>
    </w:p>
    <w:p>
      <w:pPr>
        <w:spacing w:after="80" w:before="60"/>
        <w:jc w:val="both"/>
      </w:pPr>
      <w:r>
        <w:rPr>
          <w:rFonts w:ascii="Arial" w:cs="Arial" w:eastAsia="Arial" w:hAnsi="Arial"/>
          <w:b/>
          <w:bCs/>
          <w:color w:val="2D2D2D"/>
          <w:sz w:val="21"/>
          <w:szCs w:val="21"/>
        </w:rPr>
        <w:t xml:space="preserve">Verbal (oral) consent:</w:t>
      </w:r>
    </w:p>
    <w:p>
      <w:pPr>
        <w:spacing w:after="80" w:before="60"/>
        <w:jc w:val="both"/>
      </w:pPr>
      <w:r>
        <w:rPr>
          <w:rFonts w:ascii="Arial" w:cs="Arial" w:eastAsia="Arial" w:hAnsi="Arial"/>
          <w:color w:val="2D2D2D"/>
          <w:sz w:val="21"/>
          <w:szCs w:val="21"/>
        </w:rPr>
        <w:t xml:space="preserve">Appropriate for the majority of consultations, examinations, and standard treatments. The discussion and the patient’s agreement shall be recorded in the clinical notes.</w:t>
      </w:r>
    </w:p>
    <w:p>
      <w:pPr>
        <w:spacing w:after="80" w:before="60"/>
        <w:jc w:val="both"/>
      </w:pPr>
      <w:r>
        <w:rPr>
          <w:rFonts w:ascii="Arial" w:cs="Arial" w:eastAsia="Arial" w:hAnsi="Arial"/>
          <w:b/>
          <w:bCs/>
          <w:color w:val="2D2D2D"/>
          <w:sz w:val="21"/>
          <w:szCs w:val="21"/>
        </w:rPr>
        <w:t xml:space="preserve">Written consent:</w:t>
      </w:r>
    </w:p>
    <w:p>
      <w:pPr>
        <w:spacing w:after="80" w:before="60"/>
        <w:jc w:val="both"/>
      </w:pPr>
      <w:r>
        <w:rPr>
          <w:rFonts w:ascii="Arial" w:cs="Arial" w:eastAsia="Arial" w:hAnsi="Arial"/>
          <w:color w:val="2D2D2D"/>
          <w:sz w:val="21"/>
          <w:szCs w:val="21"/>
        </w:rPr>
        <w:t xml:space="preserve">Required for procedures carrying a material risk of harm, minor surgical procedures (excisions, joint injections, IUD/IUS insertion), participation in research, and any situation where the clinician considers it prudent. Written consent forms shall be retained in the clinical record.</w:t>
      </w:r>
    </w:p>
    <w:p>
      <w:pPr>
        <w:pStyle w:val="Heading2"/>
        <w:spacing w:after="80" w:before="240"/>
      </w:pPr>
      <w:r>
        <w:rPr>
          <w:rFonts w:ascii="Arial" w:cs="Arial" w:eastAsia="Arial" w:hAnsi="Arial"/>
          <w:b/>
          <w:bCs/>
          <w:color w:val="0B1D3A"/>
          <w:sz w:val="24"/>
          <w:szCs w:val="24"/>
        </w:rPr>
        <w:t xml:space="preserve">7.3 Consent and Children / Young People</w:t>
      </w:r>
    </w:p>
    <w:p>
      <w:pPr>
        <w:spacing w:after="80" w:before="60"/>
        <w:jc w:val="both"/>
      </w:pPr>
      <w:r>
        <w:rPr>
          <w:rFonts w:ascii="Arial" w:cs="Arial" w:eastAsia="Arial" w:hAnsi="Arial"/>
          <w:color w:val="2D2D2D"/>
          <w:sz w:val="21"/>
          <w:szCs w:val="21"/>
        </w:rPr>
        <w:t xml:space="preserve">Young people aged 16 and 17 are presumed to have capacity to consent to treatment (Family Law Reform Act 1969, Section 8). However, refusal of treatment by a 16–17 year old may in certain circumstances be overridden by a person with parental responsibility or by the court.</w:t>
      </w:r>
    </w:p>
    <w:p>
      <w:pPr>
        <w:spacing w:after="80" w:before="60"/>
        <w:jc w:val="both"/>
      </w:pPr>
      <w:r>
        <w:rPr>
          <w:rFonts w:ascii="Arial" w:cs="Arial" w:eastAsia="Arial" w:hAnsi="Arial"/>
          <w:color w:val="2D2D2D"/>
          <w:sz w:val="21"/>
          <w:szCs w:val="21"/>
        </w:rPr>
        <w:t xml:space="preserve">Children under 16 may consent to treatment if they are assessed as Gillick competent – that is, they have sufficient understanding and intelligence to fully understand what is proposed, including risks, benefits, and alternatives. Gillick competence is assessed on a decision-by-decision basis by the treating clinician.</w:t>
      </w:r>
    </w:p>
    <w:p>
      <w:pPr>
        <w:spacing w:after="80" w:before="60"/>
        <w:jc w:val="both"/>
      </w:pPr>
      <w:r>
        <w:rPr>
          <w:rFonts w:ascii="Arial" w:cs="Arial" w:eastAsia="Arial" w:hAnsi="Arial"/>
          <w:color w:val="2D2D2D"/>
          <w:sz w:val="21"/>
          <w:szCs w:val="21"/>
        </w:rPr>
        <w:t xml:space="preserve">Where a child is not Gillick competent, consent shall be obtained from a person with parental responsibility. If those with parental responsibility disagree, or if the proposed treatment is contentious, legal advice shall be sought.</w:t>
      </w:r>
    </w:p>
    <w:p>
      <w:pPr>
        <w:spacing w:after="80" w:before="60"/>
        <w:jc w:val="both"/>
      </w:pPr>
      <w:r>
        <w:rPr>
          <w:rFonts w:ascii="Arial" w:cs="Arial" w:eastAsia="Arial" w:hAnsi="Arial"/>
          <w:color w:val="2D2D2D"/>
          <w:sz w:val="21"/>
          <w:szCs w:val="21"/>
        </w:rPr>
        <w:t xml:space="preserve">The practice shall apply the Fraser Guidelines specifically when providing contraceptive advice and treatment to young people under 16, ensuring that the young person understands the advice, cannot be persuaded to inform their parents, and that their physical or mental health is likely to suffer without the treatment.</w:t>
      </w:r>
    </w:p>
    <w:p>
      <w:pPr>
        <w:pStyle w:val="Heading2"/>
        <w:spacing w:after="80" w:before="240"/>
      </w:pPr>
      <w:r>
        <w:rPr>
          <w:rFonts w:ascii="Arial" w:cs="Arial" w:eastAsia="Arial" w:hAnsi="Arial"/>
          <w:b/>
          <w:bCs/>
          <w:color w:val="0B1D3A"/>
          <w:sz w:val="24"/>
          <w:szCs w:val="24"/>
        </w:rPr>
        <w:t xml:space="preserve">7.4 Mental Capacity and Best Interests Decisions</w:t>
      </w:r>
    </w:p>
    <w:p>
      <w:pPr>
        <w:spacing w:after="80" w:before="60"/>
        <w:jc w:val="both"/>
      </w:pPr>
      <w:r>
        <w:rPr>
          <w:rFonts w:ascii="Arial" w:cs="Arial" w:eastAsia="Arial" w:hAnsi="Arial"/>
          <w:color w:val="2D2D2D"/>
          <w:sz w:val="21"/>
          <w:szCs w:val="21"/>
        </w:rPr>
        <w:t xml:space="preserve">The Mental Capacity Act 2005 provides the statutory framework for assessing capacity and making decisions on behalf of adults who lack capacity. The five statutory principles shall be applied:</w:t>
      </w:r>
    </w:p>
    <w:p>
      <w:pPr>
        <w:pStyle w:val="ListParagraph"/>
        <w:numPr>
          <w:ilvl w:val="0"/>
          <w:numId w:val="3"/>
        </w:numPr>
        <w:spacing w:after="40" w:before="40"/>
      </w:pPr>
      <w:r>
        <w:rPr>
          <w:rFonts w:ascii="Arial" w:cs="Arial" w:eastAsia="Arial" w:hAnsi="Arial"/>
          <w:color w:val="2D2D2D"/>
          <w:sz w:val="20"/>
          <w:szCs w:val="20"/>
        </w:rPr>
        <w:t xml:space="preserve">A person must be assumed to have capacity unless it is established that they lack capacity.</w:t>
      </w:r>
    </w:p>
    <w:p>
      <w:pPr>
        <w:pStyle w:val="ListParagraph"/>
        <w:numPr>
          <w:ilvl w:val="0"/>
          <w:numId w:val="3"/>
        </w:numPr>
        <w:spacing w:after="40" w:before="40"/>
      </w:pPr>
      <w:r>
        <w:rPr>
          <w:rFonts w:ascii="Arial" w:cs="Arial" w:eastAsia="Arial" w:hAnsi="Arial"/>
          <w:color w:val="2D2D2D"/>
          <w:sz w:val="20"/>
          <w:szCs w:val="20"/>
        </w:rPr>
        <w:t xml:space="preserve">A person is not to be treated as unable to make a decision unless all practicable steps to help them do so have been taken without success.</w:t>
      </w:r>
    </w:p>
    <w:p>
      <w:pPr>
        <w:pStyle w:val="ListParagraph"/>
        <w:numPr>
          <w:ilvl w:val="0"/>
          <w:numId w:val="3"/>
        </w:numPr>
        <w:spacing w:after="40" w:before="40"/>
      </w:pPr>
      <w:r>
        <w:rPr>
          <w:rFonts w:ascii="Arial" w:cs="Arial" w:eastAsia="Arial" w:hAnsi="Arial"/>
          <w:color w:val="2D2D2D"/>
          <w:sz w:val="20"/>
          <w:szCs w:val="20"/>
        </w:rPr>
        <w:t xml:space="preserve">A person is not to be treated as unable to make a decision merely because they make an unwise decision.</w:t>
      </w:r>
    </w:p>
    <w:p>
      <w:pPr>
        <w:pStyle w:val="ListParagraph"/>
        <w:numPr>
          <w:ilvl w:val="0"/>
          <w:numId w:val="3"/>
        </w:numPr>
        <w:spacing w:after="40" w:before="40"/>
      </w:pPr>
      <w:r>
        <w:rPr>
          <w:rFonts w:ascii="Arial" w:cs="Arial" w:eastAsia="Arial" w:hAnsi="Arial"/>
          <w:color w:val="2D2D2D"/>
          <w:sz w:val="20"/>
          <w:szCs w:val="20"/>
        </w:rPr>
        <w:t xml:space="preserve">An act done or decision made under the Act for or on behalf of a person who lacks capacity must be done or made in their best interests.</w:t>
      </w:r>
    </w:p>
    <w:p>
      <w:pPr>
        <w:pStyle w:val="ListParagraph"/>
        <w:numPr>
          <w:ilvl w:val="0"/>
          <w:numId w:val="3"/>
        </w:numPr>
        <w:spacing w:after="40" w:before="40"/>
      </w:pPr>
      <w:r>
        <w:rPr>
          <w:rFonts w:ascii="Arial" w:cs="Arial" w:eastAsia="Arial" w:hAnsi="Arial"/>
          <w:color w:val="2D2D2D"/>
          <w:sz w:val="20"/>
          <w:szCs w:val="20"/>
        </w:rPr>
        <w:t xml:space="preserve">Before the act is done or decision made, regard must be had to whether the purpose can be achieved in a way that is less restrictive of the person’s rights and freedom of action.</w:t>
      </w:r>
    </w:p>
    <w:p>
      <w:pPr>
        <w:spacing w:after="80" w:before="60"/>
        <w:jc w:val="both"/>
      </w:pPr>
      <w:r>
        <w:rPr>
          <w:rFonts w:ascii="Arial" w:cs="Arial" w:eastAsia="Arial" w:hAnsi="Arial"/>
          <w:color w:val="2D2D2D"/>
          <w:sz w:val="21"/>
          <w:szCs w:val="21"/>
        </w:rPr>
        <w:t xml:space="preserve">Capacity assessments shall be recorded in the clinical notes, including: the decision to be made; the assessment of each element of capacity (understanding, retaining, weighing, communicating); and the conclusion. Where a patient lacks capacity, a best interests decision shall be made involving the patient, their family/carers, advocates (IMCA if appropriate), and the clinical team.</w:t>
      </w:r>
    </w:p>
    <w:p>
      <w:pPr>
        <w:spacing w:after="80" w:before="60"/>
        <w:jc w:val="both"/>
      </w:pPr>
      <w:r>
        <w:rPr>
          <w:rFonts w:ascii="Arial" w:cs="Arial" w:eastAsia="Arial" w:hAnsi="Arial"/>
          <w:color w:val="2D2D2D"/>
          <w:sz w:val="21"/>
          <w:szCs w:val="21"/>
        </w:rPr>
        <w:t xml:space="preserve">Advance Decisions to Refuse Treatment (ADRTs) shall be respected where they are valid and applicable to the treatment in question. ADRTs refusing life-sustaining treatment must be in writing, signed, and witnessed (MCA 2005, Section 25).</w:t>
      </w:r>
    </w:p>
    <w:p>
      <w:pPr>
        <w:pStyle w:val="Heading2"/>
        <w:spacing w:after="80" w:before="240"/>
      </w:pPr>
      <w:r>
        <w:rPr>
          <w:rFonts w:ascii="Arial" w:cs="Arial" w:eastAsia="Arial" w:hAnsi="Arial"/>
          <w:b/>
          <w:bCs/>
          <w:color w:val="0B1D3A"/>
          <w:sz w:val="24"/>
          <w:szCs w:val="24"/>
        </w:rPr>
        <w:t xml:space="preserve">7.5 Confidentiality – General Principles</w:t>
      </w:r>
    </w:p>
    <w:p>
      <w:pPr>
        <w:spacing w:after="80" w:before="60"/>
        <w:jc w:val="both"/>
      </w:pPr>
      <w:r>
        <w:rPr>
          <w:rFonts w:ascii="Arial" w:cs="Arial" w:eastAsia="Arial" w:hAnsi="Arial"/>
          <w:color w:val="2D2D2D"/>
          <w:sz w:val="21"/>
          <w:szCs w:val="21"/>
        </w:rPr>
        <w:t xml:space="preserve">Patient information shall be treated as confidential at all times. Staff shall not access, use, or disclose patient-identifiable information unless they have a legitimate clinical or administrative reason to do so. The common law duty of confidentiality, the Data Protection Act 2018 / UK GDPR, and the Caldicott Principles govern the handling of patient information.</w:t>
      </w:r>
    </w:p>
    <w:p>
      <w:pPr>
        <w:spacing w:after="80" w:before="60"/>
        <w:jc w:val="both"/>
      </w:pPr>
      <w:r>
        <w:rPr>
          <w:rFonts w:ascii="Arial" w:cs="Arial" w:eastAsia="Arial" w:hAnsi="Arial"/>
          <w:color w:val="2D2D2D"/>
          <w:sz w:val="21"/>
          <w:szCs w:val="21"/>
        </w:rPr>
        <w:t xml:space="preserve">Patient consultations shall take place in private. Where consultations occur in shared spaces (e.g. reception), staff shall take care to minimise the risk of being overheard. Telephone and video consultations shall be conducted from private locations.</w:t>
      </w:r>
    </w:p>
    <w:p>
      <w:pPr>
        <w:spacing w:after="80" w:before="60"/>
        <w:jc w:val="both"/>
      </w:pPr>
      <w:r>
        <w:rPr>
          <w:rFonts w:ascii="Arial" w:cs="Arial" w:eastAsia="Arial" w:hAnsi="Arial"/>
          <w:color w:val="2D2D2D"/>
          <w:sz w:val="21"/>
          <w:szCs w:val="21"/>
        </w:rPr>
        <w:t xml:space="preserve">Clinical records shall be stored securely (see Data Protection and Information Governance Policy). Computer screens shall be positioned away from patient view and locked when unattended. Paper records shall be kept in locked storage when not in active use.</w:t>
      </w:r>
    </w:p>
    <w:p>
      <w:pPr>
        <w:pStyle w:val="Heading2"/>
        <w:spacing w:after="80" w:before="240"/>
      </w:pPr>
      <w:r>
        <w:rPr>
          <w:rFonts w:ascii="Arial" w:cs="Arial" w:eastAsia="Arial" w:hAnsi="Arial"/>
          <w:b/>
          <w:bCs/>
          <w:color w:val="0B1D3A"/>
          <w:sz w:val="24"/>
          <w:szCs w:val="24"/>
        </w:rPr>
        <w:t xml:space="preserve">7.6 Disclosures Without Consent</w:t>
      </w:r>
    </w:p>
    <w:p>
      <w:pPr>
        <w:spacing w:after="80" w:before="60"/>
        <w:jc w:val="both"/>
      </w:pPr>
      <w:r>
        <w:rPr>
          <w:rFonts w:ascii="Arial" w:cs="Arial" w:eastAsia="Arial" w:hAnsi="Arial"/>
          <w:color w:val="2D2D2D"/>
          <w:sz w:val="21"/>
          <w:szCs w:val="21"/>
        </w:rPr>
        <w:t xml:space="preserve">Patient information may be disclosed without consent only in the following circumstances:</w:t>
      </w:r>
    </w:p>
    <w:p>
      <w:pPr>
        <w:pStyle w:val="ListParagraph"/>
        <w:numPr>
          <w:ilvl w:val="0"/>
          <w:numId w:val="2"/>
        </w:numPr>
        <w:spacing w:after="40" w:before="40"/>
      </w:pPr>
      <w:r>
        <w:rPr>
          <w:rFonts w:ascii="Arial" w:cs="Arial" w:eastAsia="Arial" w:hAnsi="Arial"/>
          <w:color w:val="2D2D2D"/>
          <w:sz w:val="20"/>
          <w:szCs w:val="20"/>
        </w:rPr>
        <w:t xml:space="preserve">Statutory requirement: where disclosure is required by law (e.g. notification of infectious diseases, court orders, DVLA reporting of unfit drivers, safeguarding referrals)</w:t>
      </w:r>
    </w:p>
    <w:p>
      <w:pPr>
        <w:pStyle w:val="ListParagraph"/>
        <w:numPr>
          <w:ilvl w:val="0"/>
          <w:numId w:val="2"/>
        </w:numPr>
        <w:spacing w:after="40" w:before="40"/>
      </w:pPr>
      <w:r>
        <w:rPr>
          <w:rFonts w:ascii="Arial" w:cs="Arial" w:eastAsia="Arial" w:hAnsi="Arial"/>
          <w:color w:val="2D2D2D"/>
          <w:sz w:val="20"/>
          <w:szCs w:val="20"/>
        </w:rPr>
        <w:t xml:space="preserve">Public interest: where the public interest in disclosure outweighs the public interest in maintaining confidentiality (e.g. prevention of serious crime, prevention of serious harm to the patient or others)</w:t>
      </w:r>
    </w:p>
    <w:p>
      <w:pPr>
        <w:pStyle w:val="ListParagraph"/>
        <w:numPr>
          <w:ilvl w:val="0"/>
          <w:numId w:val="2"/>
        </w:numPr>
        <w:spacing w:after="40" w:before="40"/>
      </w:pPr>
      <w:r>
        <w:rPr>
          <w:rFonts w:ascii="Arial" w:cs="Arial" w:eastAsia="Arial" w:hAnsi="Arial"/>
          <w:color w:val="2D2D2D"/>
          <w:sz w:val="20"/>
          <w:szCs w:val="20"/>
        </w:rPr>
        <w:t xml:space="preserve">Safeguarding: where necessary to protect a child or adult at risk from abuse, neglect, or exploitation (see Safeguarding Policy)</w:t>
      </w:r>
    </w:p>
    <w:p>
      <w:pPr>
        <w:pStyle w:val="ListParagraph"/>
        <w:numPr>
          <w:ilvl w:val="0"/>
          <w:numId w:val="2"/>
        </w:numPr>
        <w:spacing w:after="40" w:before="40"/>
      </w:pPr>
      <w:r>
        <w:rPr>
          <w:rFonts w:ascii="Arial" w:cs="Arial" w:eastAsia="Arial" w:hAnsi="Arial"/>
          <w:color w:val="2D2D2D"/>
          <w:sz w:val="20"/>
          <w:szCs w:val="20"/>
        </w:rPr>
        <w:t xml:space="preserve">Section 251 approval: where processing of patient information without consent has been approved by the Confidentiality Advisory Group under Section 251 of the NHS Act 2006</w:t>
      </w:r>
    </w:p>
    <w:p>
      <w:pPr>
        <w:spacing w:after="80" w:before="60"/>
        <w:jc w:val="both"/>
      </w:pPr>
      <w:r>
        <w:rPr>
          <w:rFonts w:ascii="Arial" w:cs="Arial" w:eastAsia="Arial" w:hAnsi="Arial"/>
          <w:color w:val="2D2D2D"/>
          <w:sz w:val="21"/>
          <w:szCs w:val="21"/>
        </w:rPr>
        <w:t xml:space="preserve">All disclosures without consent shall be documented in the clinical record, including the justification, the information disclosed, the recipient, and the date. The Caldicott Guardian shall be consulted in cases of uncertainty.</w:t>
      </w:r>
    </w:p>
    <w:p>
      <w:pPr>
        <w:pStyle w:val="Heading2"/>
        <w:spacing w:after="80" w:before="240"/>
      </w:pPr>
      <w:r>
        <w:rPr>
          <w:rFonts w:ascii="Arial" w:cs="Arial" w:eastAsia="Arial" w:hAnsi="Arial"/>
          <w:b/>
          <w:bCs/>
          <w:color w:val="0B1D3A"/>
          <w:sz w:val="24"/>
          <w:szCs w:val="24"/>
        </w:rPr>
        <w:t xml:space="preserve">7.7 Confidentiality and Third Parties</w:t>
      </w:r>
    </w:p>
    <w:p>
      <w:pPr>
        <w:spacing w:after="80" w:before="60"/>
        <w:jc w:val="both"/>
      </w:pPr>
      <w:r>
        <w:rPr>
          <w:rFonts w:ascii="Arial" w:cs="Arial" w:eastAsia="Arial" w:hAnsi="Arial"/>
          <w:color w:val="2D2D2D"/>
          <w:sz w:val="21"/>
          <w:szCs w:val="21"/>
        </w:rPr>
        <w:t xml:space="preserve">Enquiries about patients from third parties (solicitors, insurance companies, employers, police, family members) shall only be responded to with the patient’s explicit written consent, unless a statutory obligation or overriding public interest applies. Standard consent forms shall be used for third-party disclosures.</w:t>
      </w:r>
    </w:p>
    <w:p>
      <w:pPr>
        <w:spacing w:after="80" w:before="60"/>
        <w:jc w:val="both"/>
      </w:pPr>
      <w:r>
        <w:rPr>
          <w:rFonts w:ascii="Arial" w:cs="Arial" w:eastAsia="Arial" w:hAnsi="Arial"/>
          <w:color w:val="2D2D2D"/>
          <w:sz w:val="21"/>
          <w:szCs w:val="21"/>
        </w:rPr>
        <w:t xml:space="preserve">Information shared with patients’ family members or carers requires the patient’s consent. Where a patient lacks capacity, information may be shared with carers on a best interests basis, having regard to the Caldicott Principles and the patient’s known wishes.</w:t>
      </w:r>
    </w:p>
    <w:p>
      <w:pPr>
        <w:pStyle w:val="Heading2"/>
        <w:spacing w:after="80" w:before="240"/>
      </w:pPr>
      <w:r>
        <w:rPr>
          <w:rFonts w:ascii="Arial" w:cs="Arial" w:eastAsia="Arial" w:hAnsi="Arial"/>
          <w:b/>
          <w:bCs/>
          <w:color w:val="0B1D3A"/>
          <w:sz w:val="24"/>
          <w:szCs w:val="24"/>
        </w:rPr>
        <w:t xml:space="preserve">7.8 Recording Consent and Confidentiality Decisions</w:t>
      </w:r>
    </w:p>
    <w:p>
      <w:pPr>
        <w:spacing w:after="80" w:before="60"/>
        <w:jc w:val="both"/>
      </w:pPr>
      <w:r>
        <w:rPr>
          <w:rFonts w:ascii="Arial" w:cs="Arial" w:eastAsia="Arial" w:hAnsi="Arial"/>
          <w:color w:val="2D2D2D"/>
          <w:sz w:val="21"/>
          <w:szCs w:val="21"/>
        </w:rPr>
        <w:t xml:space="preserve">All consent discussions, including the information provided, the patient’s questions, and the decision made, shall be recorded in the clinical notes at the time of the consultation. Where written consent is obtained, the signed consent form shall be scanned and retained in the electronic record.</w:t>
      </w:r>
    </w:p>
    <w:p>
      <w:pPr>
        <w:spacing w:after="80" w:before="60"/>
        <w:jc w:val="both"/>
      </w:pPr>
      <w:r>
        <w:rPr>
          <w:rFonts w:ascii="Arial" w:cs="Arial" w:eastAsia="Arial" w:hAnsi="Arial"/>
          <w:color w:val="2D2D2D"/>
          <w:sz w:val="21"/>
          <w:szCs w:val="21"/>
        </w:rPr>
        <w:t xml:space="preserve">Capacity assessments, best interests decisions, advance decisions, and disclosures without consent shall be recorded in detail, using the appropriate clinical coding.</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clinicians shall complete training on consent and capacity, including the Montgomery principles, the Mental Capacity Act 2005, Gillick competence, and the GMC’s ‘Decision Making and Consent’ guidance, at induction and as refresher training at least every three years.</w:t>
      </w:r>
    </w:p>
    <w:p>
      <w:pPr>
        <w:pStyle w:val="ListParagraph"/>
        <w:numPr>
          <w:ilvl w:val="0"/>
          <w:numId w:val="2"/>
        </w:numPr>
        <w:spacing w:after="40" w:before="40"/>
      </w:pPr>
      <w:r>
        <w:rPr>
          <w:rFonts w:ascii="Arial" w:cs="Arial" w:eastAsia="Arial" w:hAnsi="Arial"/>
          <w:color w:val="2D2D2D"/>
          <w:sz w:val="20"/>
          <w:szCs w:val="20"/>
        </w:rPr>
        <w:t xml:space="preserve">All staff shall complete confidentiality training at induction (as part of IG training) and annually thereafter.</w:t>
      </w:r>
    </w:p>
    <w:p>
      <w:pPr>
        <w:pStyle w:val="ListParagraph"/>
        <w:numPr>
          <w:ilvl w:val="0"/>
          <w:numId w:val="2"/>
        </w:numPr>
        <w:spacing w:after="40" w:before="40"/>
      </w:pPr>
      <w:r>
        <w:rPr>
          <w:rFonts w:ascii="Arial" w:cs="Arial" w:eastAsia="Arial" w:hAnsi="Arial"/>
          <w:color w:val="2D2D2D"/>
          <w:sz w:val="20"/>
          <w:szCs w:val="20"/>
        </w:rPr>
        <w:t xml:space="preserve">Clinical staff shall receive training on conducting and recording capacity assessments, making best interests decisions, and recognising and applying Advance Decisions to Refuse Treatment.</w:t>
      </w:r>
    </w:p>
    <w:p>
      <w:pPr>
        <w:pStyle w:val="ListParagraph"/>
        <w:numPr>
          <w:ilvl w:val="0"/>
          <w:numId w:val="2"/>
        </w:numPr>
        <w:spacing w:after="40" w:before="40"/>
      </w:pPr>
      <w:r>
        <w:rPr>
          <w:rFonts w:ascii="Arial" w:cs="Arial" w:eastAsia="Arial" w:hAnsi="Arial"/>
          <w:color w:val="2D2D2D"/>
          <w:sz w:val="20"/>
          <w:szCs w:val="20"/>
        </w:rPr>
        <w:t xml:space="preserve">Reception and administrative staff shall receive specific training on handling telephone enquiries about patients, managing third-party requests, and maintaining confidentiality in shared spaces.</w:t>
      </w:r>
    </w:p>
    <w:p>
      <w:pPr>
        <w:pStyle w:val="ListParagraph"/>
        <w:numPr>
          <w:ilvl w:val="0"/>
          <w:numId w:val="2"/>
        </w:numPr>
        <w:spacing w:after="40" w:before="40"/>
      </w:pPr>
      <w:r>
        <w:rPr>
          <w:rFonts w:ascii="Arial" w:cs="Arial" w:eastAsia="Arial" w:hAnsi="Arial"/>
          <w:color w:val="2D2D2D"/>
          <w:sz w:val="20"/>
          <w:szCs w:val="20"/>
        </w:rPr>
        <w:t xml:space="preserve">Locums and temporary staff shall receive a consent and confidentiality briefing before commencing clinical duties, including the practice’s approach to consent recording and its escalation procedure for capacity concerns.</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Consent documentation audit (clinical notes)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Clinical Lead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Capacity assessment recording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Six-monthly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Clinical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Confidentiality breach register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DPO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Third-party disclosure log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Six-monthly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Staff confidentiality agreement completion check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Consent and confidentiality training compliance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Full consent and confidentiality policy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Senior Partner</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BS-POL-DP-005 Data Protection and Information Governance Policy</w:t>
      </w:r>
    </w:p>
    <w:p>
      <w:pPr>
        <w:pStyle w:val="ListParagraph"/>
        <w:numPr>
          <w:ilvl w:val="0"/>
          <w:numId w:val="2"/>
        </w:numPr>
        <w:spacing w:after="40" w:before="40"/>
      </w:pPr>
      <w:r>
        <w:rPr>
          <w:rFonts w:ascii="Arial" w:cs="Arial" w:eastAsia="Arial" w:hAnsi="Arial"/>
          <w:color w:val="2D2D2D"/>
          <w:sz w:val="20"/>
          <w:szCs w:val="20"/>
        </w:rPr>
        <w:t xml:space="preserve">BS-POL-SG-004 Safeguarding Children and Adults at Risk Policy</w:t>
      </w:r>
    </w:p>
    <w:p>
      <w:pPr>
        <w:pStyle w:val="ListParagraph"/>
        <w:numPr>
          <w:ilvl w:val="0"/>
          <w:numId w:val="2"/>
        </w:numPr>
        <w:spacing w:after="40" w:before="40"/>
      </w:pPr>
      <w:r>
        <w:rPr>
          <w:rFonts w:ascii="Arial" w:cs="Arial" w:eastAsia="Arial" w:hAnsi="Arial"/>
          <w:color w:val="2D2D2D"/>
          <w:sz w:val="20"/>
          <w:szCs w:val="20"/>
        </w:rPr>
        <w:t xml:space="preserve">Practice Chaperone Policy</w:t>
      </w:r>
    </w:p>
    <w:p>
      <w:pPr>
        <w:pStyle w:val="ListParagraph"/>
        <w:numPr>
          <w:ilvl w:val="0"/>
          <w:numId w:val="2"/>
        </w:numPr>
        <w:spacing w:after="40" w:before="40"/>
      </w:pPr>
      <w:r>
        <w:rPr>
          <w:rFonts w:ascii="Arial" w:cs="Arial" w:eastAsia="Arial" w:hAnsi="Arial"/>
          <w:color w:val="2D2D2D"/>
          <w:sz w:val="20"/>
          <w:szCs w:val="20"/>
        </w:rPr>
        <w:t xml:space="preserve">Practice Mental Capacity Act Procedure</w:t>
      </w:r>
    </w:p>
    <w:p>
      <w:pPr>
        <w:pStyle w:val="ListParagraph"/>
        <w:numPr>
          <w:ilvl w:val="0"/>
          <w:numId w:val="2"/>
        </w:numPr>
        <w:spacing w:after="40" w:before="40"/>
      </w:pPr>
      <w:r>
        <w:rPr>
          <w:rFonts w:ascii="Arial" w:cs="Arial" w:eastAsia="Arial" w:hAnsi="Arial"/>
          <w:color w:val="2D2D2D"/>
          <w:sz w:val="20"/>
          <w:szCs w:val="20"/>
        </w:rPr>
        <w:t xml:space="preserve">Practice Subject Access Request Procedure</w:t>
      </w:r>
    </w:p>
    <w:p>
      <w:pPr>
        <w:pStyle w:val="ListParagraph"/>
        <w:numPr>
          <w:ilvl w:val="0"/>
          <w:numId w:val="2"/>
        </w:numPr>
        <w:spacing w:after="40" w:before="40"/>
      </w:pPr>
      <w:r>
        <w:rPr>
          <w:rFonts w:ascii="Arial" w:cs="Arial" w:eastAsia="Arial" w:hAnsi="Arial"/>
          <w:color w:val="2D2D2D"/>
          <w:sz w:val="20"/>
          <w:szCs w:val="20"/>
        </w:rPr>
        <w:t xml:space="preserve">Practice Third-Party Disclosure Procedure</w:t>
      </w:r>
    </w:p>
    <w:p>
      <w:pPr>
        <w:pStyle w:val="ListParagraph"/>
        <w:numPr>
          <w:ilvl w:val="0"/>
          <w:numId w:val="2"/>
        </w:numPr>
        <w:spacing w:after="40" w:before="40"/>
      </w:pPr>
      <w:r>
        <w:rPr>
          <w:rFonts w:ascii="Arial" w:cs="Arial" w:eastAsia="Arial" w:hAnsi="Arial"/>
          <w:color w:val="2D2D2D"/>
          <w:sz w:val="20"/>
          <w:szCs w:val="20"/>
        </w:rPr>
        <w:t xml:space="preserve">Practice Advance Care Planning Guidance</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Caldicott Guardian / Senior Partner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BS-POL-CC-010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BS-POL-CC-010  |  Consent and Confidentiality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2026-05-15T12:48:44.346Z</dcterms:created>
  <dcterms:modified xsi:type="dcterms:W3CDTF">2026-05-15T12:48:44.346Z</dcterms:modified>
</cp:coreProperties>
</file>

<file path=docProps/custom.xml><?xml version="1.0" encoding="utf-8"?>
<Properties xmlns="http://schemas.openxmlformats.org/officeDocument/2006/custom-properties" xmlns:vt="http://schemas.openxmlformats.org/officeDocument/2006/docPropsVTypes"/>
</file>