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DATA PROTECTION AND INFORMATION GOVERNANCE</w:t>
      </w:r>
    </w:p>
    <w:p>
      <w:pPr>
        <w:spacing w:after="20"/>
        <w:jc w:val="center"/>
      </w:pPr>
      <w:r>
        <w:rPr>
          <w:rFonts w:ascii="Arial" w:cs="Arial" w:eastAsia="Arial" w:hAnsi="Arial"/>
          <w:i/>
          <w:iCs/>
          <w:color w:val="6B7280"/>
          <w:sz w:val="22"/>
          <w:szCs w:val="22"/>
        </w:rPr>
        <w:t xml:space="preserve">Protecting the confidentiality, integrity, and availability of personal and patient data</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BS-POL-DP-005</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is committed to processing all personal data lawfully, fairly, and transparently, in compliance with the UK General Data Protection Regulation (UK GDPR), the Data Protection Act 2018, and the common law duty of confidentiality. The practice recognises that maintaining the confidentiality and security of patient information is essential to the trust that underpins the clinician-patient relationship and is fundamental to the delivery of safe, effective care.</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This policy establishes the practice’s data protection and information governance framework, defines the lawful bases for processing personal data, and sets out the arrangements for ensuring the rights of data subjects are upheld.</w:t>
      </w:r>
    </w:p>
    <w:p>
      <w:pPr>
        <w:spacing w:after="80" w:before="60"/>
        <w:jc w:val="both"/>
      </w:pPr>
      <w:r>
        <w:rPr>
          <w:rFonts w:ascii="Arial" w:cs="Arial" w:eastAsia="Arial" w:hAnsi="Arial"/>
          <w:color w:val="2D2D2D"/>
          <w:sz w:val="21"/>
          <w:szCs w:val="21"/>
        </w:rPr>
        <w:t xml:space="preserve">The policy ensures compliance with the UK GDPR, the Data Protection Act 2018, the NHS Data Security and Protection Toolkit (DSPT), the Caldicott Principles, and CQC Regulation 17 (Good Governance).</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w:t>
      </w:r>
    </w:p>
    <w:p>
      <w:pPr>
        <w:pStyle w:val="ListParagraph"/>
        <w:numPr>
          <w:ilvl w:val="0"/>
          <w:numId w:val="2"/>
        </w:numPr>
        <w:spacing w:after="40" w:before="40"/>
      </w:pPr>
      <w:r>
        <w:rPr>
          <w:rFonts w:ascii="Arial" w:cs="Arial" w:eastAsia="Arial" w:hAnsi="Arial"/>
          <w:color w:val="2D2D2D"/>
          <w:sz w:val="20"/>
          <w:szCs w:val="20"/>
        </w:rPr>
        <w:t xml:space="preserve">All personal data processed by the practice, including patient records (electronic and paper), staff records, financial records, CCTV footage, and communications</w:t>
      </w:r>
    </w:p>
    <w:p>
      <w:pPr>
        <w:pStyle w:val="ListParagraph"/>
        <w:numPr>
          <w:ilvl w:val="0"/>
          <w:numId w:val="2"/>
        </w:numPr>
        <w:spacing w:after="40" w:before="40"/>
      </w:pPr>
      <w:r>
        <w:rPr>
          <w:rFonts w:ascii="Arial" w:cs="Arial" w:eastAsia="Arial" w:hAnsi="Arial"/>
          <w:color w:val="2D2D2D"/>
          <w:sz w:val="20"/>
          <w:szCs w:val="20"/>
        </w:rPr>
        <w:t xml:space="preserve">All processing activities: collection, recording, storage, retrieval, use, disclosure, transfer, restriction, erasure, and destruction</w:t>
      </w:r>
    </w:p>
    <w:p>
      <w:pPr>
        <w:pStyle w:val="ListParagraph"/>
        <w:numPr>
          <w:ilvl w:val="0"/>
          <w:numId w:val="2"/>
        </w:numPr>
        <w:spacing w:after="40" w:before="40"/>
      </w:pPr>
      <w:r>
        <w:rPr>
          <w:rFonts w:ascii="Arial" w:cs="Arial" w:eastAsia="Arial" w:hAnsi="Arial"/>
          <w:color w:val="2D2D2D"/>
          <w:sz w:val="20"/>
          <w:szCs w:val="20"/>
        </w:rPr>
        <w:t xml:space="preserve">All staff, locums, trainees, contractors, and any third parties processing personal data on behalf of the practice</w:t>
      </w:r>
    </w:p>
    <w:p>
      <w:pPr>
        <w:pStyle w:val="ListParagraph"/>
        <w:numPr>
          <w:ilvl w:val="0"/>
          <w:numId w:val="2"/>
        </w:numPr>
        <w:spacing w:after="40" w:before="40"/>
      </w:pPr>
      <w:r>
        <w:rPr>
          <w:rFonts w:ascii="Arial" w:cs="Arial" w:eastAsia="Arial" w:hAnsi="Arial"/>
          <w:color w:val="2D2D2D"/>
          <w:sz w:val="20"/>
          <w:szCs w:val="20"/>
        </w:rPr>
        <w:t xml:space="preserve">All systems and media: clinical systems (EMIS, SystmOne, Vision), email (NHS Mail), telephony, paper records, portable devices, and cloud services</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Personal Data</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Any information relating to an identified or identifiable living natural person (a ‘data subject’) (UK GDPR, Article 4(1)).</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Special Category Data</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Personal data revealing racial or ethnic origin, political opinions, religious beliefs, trade union membership, genetic data, biometric data, health data, or data concerning sex life or sexual orientation (UK GDPR, Article 9).</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Data Controller</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The practice, which determines the purposes and means of processing personal data.</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Data Processor</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third party that processes personal data on behalf of the practice (e.g. cloud hosting providers, payroll bureaux, clinical waste contractors).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DPO</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Data Protection Officer – appointed to advise on data protection compliance, monitor adherence, and act as the contact point for data subjects and the ICO.</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Caldicott Guardian</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senior clinician responsible for protecting the confidentiality of people’s health and care information and making sure it is used properly (appointed in accordance with the Caldicott Principles).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DSPT</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Data Security and Protection Toolkit – an online self-assessment tool that allows organisations to measure their performance against the National Data Guardian’s 10 data security standards.</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UK General Data Protection Regulation (UK GDPR) (retained EU Regulation 2016/679)</w:t>
      </w:r>
    </w:p>
    <w:p>
      <w:pPr>
        <w:pStyle w:val="ListParagraph"/>
        <w:numPr>
          <w:ilvl w:val="0"/>
          <w:numId w:val="2"/>
        </w:numPr>
        <w:spacing w:after="40" w:before="40"/>
      </w:pPr>
      <w:r>
        <w:rPr>
          <w:rFonts w:ascii="Arial" w:cs="Arial" w:eastAsia="Arial" w:hAnsi="Arial"/>
          <w:color w:val="2D2D2D"/>
          <w:sz w:val="20"/>
          <w:szCs w:val="20"/>
        </w:rPr>
        <w:t xml:space="preserve">Data Protection Act 2018 (incorporating UK GDPR into domestic law)</w:t>
      </w:r>
    </w:p>
    <w:p>
      <w:pPr>
        <w:pStyle w:val="ListParagraph"/>
        <w:numPr>
          <w:ilvl w:val="0"/>
          <w:numId w:val="2"/>
        </w:numPr>
        <w:spacing w:after="40" w:before="40"/>
      </w:pPr>
      <w:r>
        <w:rPr>
          <w:rFonts w:ascii="Arial" w:cs="Arial" w:eastAsia="Arial" w:hAnsi="Arial"/>
          <w:color w:val="2D2D2D"/>
          <w:sz w:val="20"/>
          <w:szCs w:val="20"/>
        </w:rPr>
        <w:t xml:space="preserve">The Privacy and Electronic Communications Regulations 2003 (PECR)</w:t>
      </w:r>
    </w:p>
    <w:p>
      <w:pPr>
        <w:pStyle w:val="ListParagraph"/>
        <w:numPr>
          <w:ilvl w:val="0"/>
          <w:numId w:val="2"/>
        </w:numPr>
        <w:spacing w:after="40" w:before="40"/>
      </w:pPr>
      <w:r>
        <w:rPr>
          <w:rFonts w:ascii="Arial" w:cs="Arial" w:eastAsia="Arial" w:hAnsi="Arial"/>
          <w:color w:val="2D2D2D"/>
          <w:sz w:val="20"/>
          <w:szCs w:val="20"/>
        </w:rPr>
        <w:t xml:space="preserve">The Common Law Duty of Confidentiality (established in case law: AG v Guardian Newspapers [1990])</w:t>
      </w:r>
    </w:p>
    <w:p>
      <w:pPr>
        <w:pStyle w:val="ListParagraph"/>
        <w:numPr>
          <w:ilvl w:val="0"/>
          <w:numId w:val="2"/>
        </w:numPr>
        <w:spacing w:after="40" w:before="40"/>
      </w:pPr>
      <w:r>
        <w:rPr>
          <w:rFonts w:ascii="Arial" w:cs="Arial" w:eastAsia="Arial" w:hAnsi="Arial"/>
          <w:color w:val="2D2D2D"/>
          <w:sz w:val="20"/>
          <w:szCs w:val="20"/>
        </w:rPr>
        <w:t xml:space="preserve">NHS Act 2006 (Section 251 – Processing of Patient Information for Medical Purposes)</w:t>
      </w:r>
    </w:p>
    <w:p>
      <w:pPr>
        <w:pStyle w:val="ListParagraph"/>
        <w:numPr>
          <w:ilvl w:val="0"/>
          <w:numId w:val="2"/>
        </w:numPr>
        <w:spacing w:after="40" w:before="40"/>
      </w:pPr>
      <w:r>
        <w:rPr>
          <w:rFonts w:ascii="Arial" w:cs="Arial" w:eastAsia="Arial" w:hAnsi="Arial"/>
          <w:color w:val="2D2D2D"/>
          <w:sz w:val="20"/>
          <w:szCs w:val="20"/>
        </w:rPr>
        <w:t xml:space="preserve">The Health and Social Care Act 2008 (Regulated Activities) Regulations 2014 (Regulation 17 – Good Governance)</w:t>
      </w:r>
    </w:p>
    <w:p>
      <w:pPr>
        <w:pStyle w:val="ListParagraph"/>
        <w:numPr>
          <w:ilvl w:val="0"/>
          <w:numId w:val="2"/>
        </w:numPr>
        <w:spacing w:after="40" w:before="40"/>
      </w:pPr>
      <w:r>
        <w:rPr>
          <w:rFonts w:ascii="Arial" w:cs="Arial" w:eastAsia="Arial" w:hAnsi="Arial"/>
          <w:color w:val="2D2D2D"/>
          <w:sz w:val="20"/>
          <w:szCs w:val="20"/>
        </w:rPr>
        <w:t xml:space="preserve">Computer Misuse Act 1990</w:t>
      </w:r>
    </w:p>
    <w:p>
      <w:pPr>
        <w:pStyle w:val="ListParagraph"/>
        <w:numPr>
          <w:ilvl w:val="0"/>
          <w:numId w:val="2"/>
        </w:numPr>
        <w:spacing w:after="40" w:before="40"/>
      </w:pPr>
      <w:r>
        <w:rPr>
          <w:rFonts w:ascii="Arial" w:cs="Arial" w:eastAsia="Arial" w:hAnsi="Arial"/>
          <w:color w:val="2D2D2D"/>
          <w:sz w:val="20"/>
          <w:szCs w:val="20"/>
        </w:rPr>
        <w:t xml:space="preserve">Human Rights Act 1998 (Article 8 – Right to Respect for Private and Family Life)</w:t>
      </w:r>
    </w:p>
    <w:p>
      <w:pPr>
        <w:pStyle w:val="ListParagraph"/>
        <w:numPr>
          <w:ilvl w:val="0"/>
          <w:numId w:val="2"/>
        </w:numPr>
        <w:spacing w:after="40" w:before="40"/>
      </w:pPr>
      <w:r>
        <w:rPr>
          <w:rFonts w:ascii="Arial" w:cs="Arial" w:eastAsia="Arial" w:hAnsi="Arial"/>
          <w:color w:val="2D2D2D"/>
          <w:sz w:val="20"/>
          <w:szCs w:val="20"/>
        </w:rPr>
        <w:t xml:space="preserve">Caldicott Principles (revised 2021 – eight principles including: justify the purpose, use only when necessary, use minimum data necessary, access on strict need-to-know, everyone must understand their responsibilities, comply with the law, the duty to share can be as important as the duty to protect, inform patients about how their data is used)</w:t>
      </w:r>
    </w:p>
    <w:p>
      <w:pPr>
        <w:pStyle w:val="ListParagraph"/>
        <w:numPr>
          <w:ilvl w:val="0"/>
          <w:numId w:val="2"/>
        </w:numPr>
        <w:spacing w:after="40" w:before="40"/>
      </w:pPr>
      <w:r>
        <w:rPr>
          <w:rFonts w:ascii="Arial" w:cs="Arial" w:eastAsia="Arial" w:hAnsi="Arial"/>
          <w:color w:val="2D2D2D"/>
          <w:sz w:val="20"/>
          <w:szCs w:val="20"/>
        </w:rPr>
        <w:t xml:space="preserve">NHS Data Security and Protection Toolkit (DSPT) – 10 Data Security Standards</w:t>
      </w:r>
    </w:p>
    <w:p>
      <w:pPr>
        <w:pStyle w:val="ListParagraph"/>
        <w:numPr>
          <w:ilvl w:val="0"/>
          <w:numId w:val="2"/>
        </w:numPr>
        <w:spacing w:after="40" w:before="40"/>
      </w:pPr>
      <w:r>
        <w:rPr>
          <w:rFonts w:ascii="Arial" w:cs="Arial" w:eastAsia="Arial" w:hAnsi="Arial"/>
          <w:color w:val="2D2D2D"/>
          <w:sz w:val="20"/>
          <w:szCs w:val="20"/>
        </w:rPr>
        <w:t xml:space="preserve">ICO Guidance on Data Protection Impact Assessments (DPIAs)</w:t>
      </w:r>
    </w:p>
    <w:p>
      <w:pPr>
        <w:pStyle w:val="ListParagraph"/>
        <w:numPr>
          <w:ilvl w:val="0"/>
          <w:numId w:val="2"/>
        </w:numPr>
        <w:spacing w:after="40" w:before="40"/>
      </w:pPr>
      <w:r>
        <w:rPr>
          <w:rFonts w:ascii="Arial" w:cs="Arial" w:eastAsia="Arial" w:hAnsi="Arial"/>
          <w:color w:val="2D2D2D"/>
          <w:sz w:val="20"/>
          <w:szCs w:val="20"/>
        </w:rPr>
        <w:t xml:space="preserve">NHS Records Management Code of Practice 2021</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Data Protection Officer (DPO)</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Advising the practice on data protection obligations; monitoring GDPR compliance; conducting DPIAs; liaising with the ICO; handling data subject rights requests; reporting to the Senior Partner on IG performance.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Caldicott Guardian</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Ensuring patient-identifiable information is shared only when lawful and necessary; advising on complex information sharing decisions; overseeing the practice’s compliance with the Caldicott Principles; reviewing information sharing agreements.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Senior Information Risk Owner (SIRO)</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Overall accountability for information risk management; ensuring information assets are identified and managed; reviewing information risk register; escalating significant information risks to partners.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Day-to-day IG management; maintaining DSPT submission; managing data processor contracts; ensuring staff IG training compliance; coordinating breach response; managing records retention and destruction.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Complying with this policy and supporting procedures; protecting the confidentiality of all personal data; reporting actual or suspected data breaches immediately; completing mandatory IG training annually; using systems in accordance with acceptable use policy.</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Data Protection Principles</w:t>
      </w:r>
    </w:p>
    <w:p>
      <w:pPr>
        <w:spacing w:after="80" w:before="60"/>
        <w:jc w:val="both"/>
      </w:pPr>
      <w:r>
        <w:rPr>
          <w:rFonts w:ascii="Arial" w:cs="Arial" w:eastAsia="Arial" w:hAnsi="Arial"/>
          <w:color w:val="2D2D2D"/>
          <w:sz w:val="21"/>
          <w:szCs w:val="21"/>
        </w:rPr>
        <w:t xml:space="preserve">The practice shall comply with the seven data protection principles set out in Article 5 of the UK GDPR:</w:t>
      </w:r>
    </w:p>
    <w:p>
      <w:pPr>
        <w:pStyle w:val="ListParagraph"/>
        <w:numPr>
          <w:ilvl w:val="0"/>
          <w:numId w:val="3"/>
        </w:numPr>
        <w:spacing w:after="40" w:before="40"/>
      </w:pPr>
      <w:r>
        <w:rPr>
          <w:rFonts w:ascii="Arial" w:cs="Arial" w:eastAsia="Arial" w:hAnsi="Arial"/>
          <w:color w:val="2D2D2D"/>
          <w:sz w:val="20"/>
          <w:szCs w:val="20"/>
        </w:rPr>
        <w:t xml:space="preserve">Lawfulness, fairness, and transparency: personal data shall be processed lawfully, fairly, and in a transparent manner in relation to the data subject.</w:t>
      </w:r>
    </w:p>
    <w:p>
      <w:pPr>
        <w:pStyle w:val="ListParagraph"/>
        <w:numPr>
          <w:ilvl w:val="0"/>
          <w:numId w:val="3"/>
        </w:numPr>
        <w:spacing w:after="40" w:before="40"/>
      </w:pPr>
      <w:r>
        <w:rPr>
          <w:rFonts w:ascii="Arial" w:cs="Arial" w:eastAsia="Arial" w:hAnsi="Arial"/>
          <w:color w:val="2D2D2D"/>
          <w:sz w:val="20"/>
          <w:szCs w:val="20"/>
        </w:rPr>
        <w:t xml:space="preserve">Purpose limitation: personal data shall be collected for specified, explicit, and legitimate purposes and not further processed in a manner incompatible with those purposes.</w:t>
      </w:r>
    </w:p>
    <w:p>
      <w:pPr>
        <w:pStyle w:val="ListParagraph"/>
        <w:numPr>
          <w:ilvl w:val="0"/>
          <w:numId w:val="3"/>
        </w:numPr>
        <w:spacing w:after="40" w:before="40"/>
      </w:pPr>
      <w:r>
        <w:rPr>
          <w:rFonts w:ascii="Arial" w:cs="Arial" w:eastAsia="Arial" w:hAnsi="Arial"/>
          <w:color w:val="2D2D2D"/>
          <w:sz w:val="20"/>
          <w:szCs w:val="20"/>
        </w:rPr>
        <w:t xml:space="preserve">Data minimisation: personal data shall be adequate, relevant, and limited to what is necessary in relation to the purposes for which it is processed.</w:t>
      </w:r>
    </w:p>
    <w:p>
      <w:pPr>
        <w:pStyle w:val="ListParagraph"/>
        <w:numPr>
          <w:ilvl w:val="0"/>
          <w:numId w:val="3"/>
        </w:numPr>
        <w:spacing w:after="40" w:before="40"/>
      </w:pPr>
      <w:r>
        <w:rPr>
          <w:rFonts w:ascii="Arial" w:cs="Arial" w:eastAsia="Arial" w:hAnsi="Arial"/>
          <w:color w:val="2D2D2D"/>
          <w:sz w:val="20"/>
          <w:szCs w:val="20"/>
        </w:rPr>
        <w:t xml:space="preserve">Accuracy: personal data shall be accurate and, where necessary, kept up to date.</w:t>
      </w:r>
    </w:p>
    <w:p>
      <w:pPr>
        <w:pStyle w:val="ListParagraph"/>
        <w:numPr>
          <w:ilvl w:val="0"/>
          <w:numId w:val="3"/>
        </w:numPr>
        <w:spacing w:after="40" w:before="40"/>
      </w:pPr>
      <w:r>
        <w:rPr>
          <w:rFonts w:ascii="Arial" w:cs="Arial" w:eastAsia="Arial" w:hAnsi="Arial"/>
          <w:color w:val="2D2D2D"/>
          <w:sz w:val="20"/>
          <w:szCs w:val="20"/>
        </w:rPr>
        <w:t xml:space="preserve">Storage limitation: personal data shall be kept in a form that permits identification of data subjects for no longer than is necessary for the purposes for which it is processed.</w:t>
      </w:r>
    </w:p>
    <w:p>
      <w:pPr>
        <w:pStyle w:val="ListParagraph"/>
        <w:numPr>
          <w:ilvl w:val="0"/>
          <w:numId w:val="3"/>
        </w:numPr>
        <w:spacing w:after="40" w:before="40"/>
      </w:pPr>
      <w:r>
        <w:rPr>
          <w:rFonts w:ascii="Arial" w:cs="Arial" w:eastAsia="Arial" w:hAnsi="Arial"/>
          <w:color w:val="2D2D2D"/>
          <w:sz w:val="20"/>
          <w:szCs w:val="20"/>
        </w:rPr>
        <w:t xml:space="preserve">Integrity and confidentiality: personal data shall be processed in a manner that ensures appropriate security, including protection against unauthorised or unlawful processing and against accidental loss, destruction, or damage.</w:t>
      </w:r>
    </w:p>
    <w:p>
      <w:pPr>
        <w:pStyle w:val="ListParagraph"/>
        <w:numPr>
          <w:ilvl w:val="0"/>
          <w:numId w:val="3"/>
        </w:numPr>
        <w:spacing w:after="40" w:before="40"/>
      </w:pPr>
      <w:r>
        <w:rPr>
          <w:rFonts w:ascii="Arial" w:cs="Arial" w:eastAsia="Arial" w:hAnsi="Arial"/>
          <w:color w:val="2D2D2D"/>
          <w:sz w:val="20"/>
          <w:szCs w:val="20"/>
        </w:rPr>
        <w:t xml:space="preserve">Accountability: the practice, as data controller, shall be responsible for and able to demonstrate compliance with the above principles.</w:t>
      </w:r>
    </w:p>
    <w:p>
      <w:pPr>
        <w:pStyle w:val="Heading2"/>
        <w:spacing w:after="80" w:before="240"/>
      </w:pPr>
      <w:r>
        <w:rPr>
          <w:rFonts w:ascii="Arial" w:cs="Arial" w:eastAsia="Arial" w:hAnsi="Arial"/>
          <w:b/>
          <w:bCs/>
          <w:color w:val="0B1D3A"/>
          <w:sz w:val="24"/>
          <w:szCs w:val="24"/>
        </w:rPr>
        <w:t xml:space="preserve">7.2 Lawful Bases for Processing</w:t>
      </w:r>
    </w:p>
    <w:p>
      <w:pPr>
        <w:spacing w:after="80" w:before="60"/>
        <w:jc w:val="both"/>
      </w:pPr>
      <w:r>
        <w:rPr>
          <w:rFonts w:ascii="Arial" w:cs="Arial" w:eastAsia="Arial" w:hAnsi="Arial"/>
          <w:color w:val="2D2D2D"/>
          <w:sz w:val="21"/>
          <w:szCs w:val="21"/>
        </w:rPr>
        <w:t xml:space="preserve">The practice processes personal data under the following lawful bases (UK GDPR Article 6):</w:t>
      </w:r>
    </w:p>
    <w:p>
      <w:pPr>
        <w:pStyle w:val="ListParagraph"/>
        <w:numPr>
          <w:ilvl w:val="0"/>
          <w:numId w:val="2"/>
        </w:numPr>
        <w:spacing w:after="40" w:before="40"/>
      </w:pPr>
      <w:r>
        <w:rPr>
          <w:rFonts w:ascii="Arial" w:cs="Arial" w:eastAsia="Arial" w:hAnsi="Arial"/>
          <w:color w:val="2D2D2D"/>
          <w:sz w:val="20"/>
          <w:szCs w:val="20"/>
        </w:rPr>
        <w:t xml:space="preserve">Article 6(1)(e) – Performance of a task carried out in the public interest or in the exercise of official authority (primary basis for patient care data)</w:t>
      </w:r>
    </w:p>
    <w:p>
      <w:pPr>
        <w:pStyle w:val="ListParagraph"/>
        <w:numPr>
          <w:ilvl w:val="0"/>
          <w:numId w:val="2"/>
        </w:numPr>
        <w:spacing w:after="40" w:before="40"/>
      </w:pPr>
      <w:r>
        <w:rPr>
          <w:rFonts w:ascii="Arial" w:cs="Arial" w:eastAsia="Arial" w:hAnsi="Arial"/>
          <w:color w:val="2D2D2D"/>
          <w:sz w:val="20"/>
          <w:szCs w:val="20"/>
        </w:rPr>
        <w:t xml:space="preserve">Article 6(1)(c) – Compliance with a legal obligation (e.g. statutory notifications, HMRC reporting)</w:t>
      </w:r>
    </w:p>
    <w:p>
      <w:pPr>
        <w:pStyle w:val="ListParagraph"/>
        <w:numPr>
          <w:ilvl w:val="0"/>
          <w:numId w:val="2"/>
        </w:numPr>
        <w:spacing w:after="40" w:before="40"/>
      </w:pPr>
      <w:r>
        <w:rPr>
          <w:rFonts w:ascii="Arial" w:cs="Arial" w:eastAsia="Arial" w:hAnsi="Arial"/>
          <w:color w:val="2D2D2D"/>
          <w:sz w:val="20"/>
          <w:szCs w:val="20"/>
        </w:rPr>
        <w:t xml:space="preserve">Article 6(1)(b) – Performance of a contract (e.g. staff employment records)</w:t>
      </w:r>
    </w:p>
    <w:p>
      <w:pPr>
        <w:pStyle w:val="ListParagraph"/>
        <w:numPr>
          <w:ilvl w:val="0"/>
          <w:numId w:val="2"/>
        </w:numPr>
        <w:spacing w:after="40" w:before="40"/>
      </w:pPr>
      <w:r>
        <w:rPr>
          <w:rFonts w:ascii="Arial" w:cs="Arial" w:eastAsia="Arial" w:hAnsi="Arial"/>
          <w:color w:val="2D2D2D"/>
          <w:sz w:val="20"/>
          <w:szCs w:val="20"/>
        </w:rPr>
        <w:t xml:space="preserve">Article 6(1)(d) – Vital interests of the data subject (emergency medical treatment)</w:t>
      </w:r>
    </w:p>
    <w:p>
      <w:pPr>
        <w:spacing w:after="80" w:before="60"/>
        <w:jc w:val="both"/>
      </w:pPr>
      <w:r>
        <w:rPr>
          <w:rFonts w:ascii="Arial" w:cs="Arial" w:eastAsia="Arial" w:hAnsi="Arial"/>
          <w:color w:val="2D2D2D"/>
          <w:sz w:val="21"/>
          <w:szCs w:val="21"/>
        </w:rPr>
        <w:t xml:space="preserve">For special category data (including health data), the practice relies on:</w:t>
      </w:r>
    </w:p>
    <w:p>
      <w:pPr>
        <w:pStyle w:val="ListParagraph"/>
        <w:numPr>
          <w:ilvl w:val="0"/>
          <w:numId w:val="2"/>
        </w:numPr>
        <w:spacing w:after="40" w:before="40"/>
      </w:pPr>
      <w:r>
        <w:rPr>
          <w:rFonts w:ascii="Arial" w:cs="Arial" w:eastAsia="Arial" w:hAnsi="Arial"/>
          <w:color w:val="2D2D2D"/>
          <w:sz w:val="20"/>
          <w:szCs w:val="20"/>
        </w:rPr>
        <w:t xml:space="preserve">Article 9(2)(h) – Provision of health care or treatment, health or social care systems management (read with Schedule 1, Part 1, Paragraph 2 of the DPA 2018)</w:t>
      </w:r>
    </w:p>
    <w:p>
      <w:pPr>
        <w:pStyle w:val="ListParagraph"/>
        <w:numPr>
          <w:ilvl w:val="0"/>
          <w:numId w:val="2"/>
        </w:numPr>
        <w:spacing w:after="40" w:before="40"/>
      </w:pPr>
      <w:r>
        <w:rPr>
          <w:rFonts w:ascii="Arial" w:cs="Arial" w:eastAsia="Arial" w:hAnsi="Arial"/>
          <w:color w:val="2D2D2D"/>
          <w:sz w:val="20"/>
          <w:szCs w:val="20"/>
        </w:rPr>
        <w:t xml:space="preserve">Article 9(2)(i) – Public health (e.g. disease surveillance, safeguarding)</w:t>
      </w:r>
    </w:p>
    <w:p>
      <w:pPr>
        <w:pStyle w:val="ListParagraph"/>
        <w:numPr>
          <w:ilvl w:val="0"/>
          <w:numId w:val="2"/>
        </w:numPr>
        <w:spacing w:after="40" w:before="40"/>
      </w:pPr>
      <w:r>
        <w:rPr>
          <w:rFonts w:ascii="Arial" w:cs="Arial" w:eastAsia="Arial" w:hAnsi="Arial"/>
          <w:color w:val="2D2D2D"/>
          <w:sz w:val="20"/>
          <w:szCs w:val="20"/>
        </w:rPr>
        <w:t xml:space="preserve">Article 9(2)(j) – Archiving, research, or statistical purposes</w:t>
      </w:r>
    </w:p>
    <w:p>
      <w:pPr>
        <w:pStyle w:val="Heading2"/>
        <w:spacing w:after="80" w:before="240"/>
      </w:pPr>
      <w:r>
        <w:rPr>
          <w:rFonts w:ascii="Arial" w:cs="Arial" w:eastAsia="Arial" w:hAnsi="Arial"/>
          <w:b/>
          <w:bCs/>
          <w:color w:val="0B1D3A"/>
          <w:sz w:val="24"/>
          <w:szCs w:val="24"/>
        </w:rPr>
        <w:t xml:space="preserve">7.3 Data Subject Rights</w:t>
      </w:r>
    </w:p>
    <w:p>
      <w:pPr>
        <w:spacing w:after="80" w:before="60"/>
        <w:jc w:val="both"/>
      </w:pPr>
      <w:r>
        <w:rPr>
          <w:rFonts w:ascii="Arial" w:cs="Arial" w:eastAsia="Arial" w:hAnsi="Arial"/>
          <w:color w:val="2D2D2D"/>
          <w:sz w:val="21"/>
          <w:szCs w:val="21"/>
        </w:rPr>
        <w:t xml:space="preserve">The practice shall uphold the rights of data subjects as set out in Articles 12–22 of the UK GDPR:</w:t>
      </w:r>
    </w:p>
    <w:p>
      <w:pPr>
        <w:pStyle w:val="ListParagraph"/>
        <w:numPr>
          <w:ilvl w:val="0"/>
          <w:numId w:val="2"/>
        </w:numPr>
        <w:spacing w:after="40" w:before="40"/>
      </w:pPr>
      <w:r>
        <w:rPr>
          <w:rFonts w:ascii="Arial" w:cs="Arial" w:eastAsia="Arial" w:hAnsi="Arial"/>
          <w:color w:val="2D2D2D"/>
          <w:sz w:val="20"/>
          <w:szCs w:val="20"/>
        </w:rPr>
        <w:t xml:space="preserve">Right to be informed: privacy notices are displayed in the practice, on the website, and provided to new patients at registration.</w:t>
      </w:r>
    </w:p>
    <w:p>
      <w:pPr>
        <w:pStyle w:val="ListParagraph"/>
        <w:numPr>
          <w:ilvl w:val="0"/>
          <w:numId w:val="2"/>
        </w:numPr>
        <w:spacing w:after="40" w:before="40"/>
      </w:pPr>
      <w:r>
        <w:rPr>
          <w:rFonts w:ascii="Arial" w:cs="Arial" w:eastAsia="Arial" w:hAnsi="Arial"/>
          <w:color w:val="2D2D2D"/>
          <w:sz w:val="20"/>
          <w:szCs w:val="20"/>
        </w:rPr>
        <w:t xml:space="preserve">Right of access (Subject Access Request): patients and staff may request access to their personal data. Requests shall be fulfilled within one calendar month (Article 12(3)), extendable by two months for complex requests. No fee shall be charged unless the request is manifestly unfounded or excessive.</w:t>
      </w:r>
    </w:p>
    <w:p>
      <w:pPr>
        <w:pStyle w:val="ListParagraph"/>
        <w:numPr>
          <w:ilvl w:val="0"/>
          <w:numId w:val="2"/>
        </w:numPr>
        <w:spacing w:after="40" w:before="40"/>
      </w:pPr>
      <w:r>
        <w:rPr>
          <w:rFonts w:ascii="Arial" w:cs="Arial" w:eastAsia="Arial" w:hAnsi="Arial"/>
          <w:color w:val="2D2D2D"/>
          <w:sz w:val="20"/>
          <w:szCs w:val="20"/>
        </w:rPr>
        <w:t xml:space="preserve">Right to rectification: inaccurate personal data shall be corrected without undue delay. Clinical records corrections shall be handled in accordance with GMC/NMC professional guidance (amendment appended, not overwritten).</w:t>
      </w:r>
    </w:p>
    <w:p>
      <w:pPr>
        <w:pStyle w:val="ListParagraph"/>
        <w:numPr>
          <w:ilvl w:val="0"/>
          <w:numId w:val="2"/>
        </w:numPr>
        <w:spacing w:after="40" w:before="40"/>
      </w:pPr>
      <w:r>
        <w:rPr>
          <w:rFonts w:ascii="Arial" w:cs="Arial" w:eastAsia="Arial" w:hAnsi="Arial"/>
          <w:color w:val="2D2D2D"/>
          <w:sz w:val="20"/>
          <w:szCs w:val="20"/>
        </w:rPr>
        <w:t xml:space="preserve">Right to erasure: applicable in limited circumstances; clinical records may be exempt under GDPR Article 17(3)(c) (public health) and the NHS Records Management Code of Practice retention periods.</w:t>
      </w:r>
    </w:p>
    <w:p>
      <w:pPr>
        <w:pStyle w:val="ListParagraph"/>
        <w:numPr>
          <w:ilvl w:val="0"/>
          <w:numId w:val="2"/>
        </w:numPr>
        <w:spacing w:after="40" w:before="40"/>
      </w:pPr>
      <w:r>
        <w:rPr>
          <w:rFonts w:ascii="Arial" w:cs="Arial" w:eastAsia="Arial" w:hAnsi="Arial"/>
          <w:color w:val="2D2D2D"/>
          <w:sz w:val="20"/>
          <w:szCs w:val="20"/>
        </w:rPr>
        <w:t xml:space="preserve">Right to restrict processing, right to data portability, and right to object: shall be facilitated in accordance with UK GDPR provisions. National data opt-out shall be applied for secondary uses of data.</w:t>
      </w:r>
    </w:p>
    <w:p>
      <w:pPr>
        <w:pStyle w:val="Heading2"/>
        <w:spacing w:after="80" w:before="240"/>
      </w:pPr>
      <w:r>
        <w:rPr>
          <w:rFonts w:ascii="Arial" w:cs="Arial" w:eastAsia="Arial" w:hAnsi="Arial"/>
          <w:b/>
          <w:bCs/>
          <w:color w:val="0B1D3A"/>
          <w:sz w:val="24"/>
          <w:szCs w:val="24"/>
        </w:rPr>
        <w:t xml:space="preserve">7.4 Data Security</w:t>
      </w:r>
    </w:p>
    <w:p>
      <w:pPr>
        <w:spacing w:after="80" w:before="60"/>
        <w:jc w:val="both"/>
      </w:pPr>
      <w:r>
        <w:rPr>
          <w:rFonts w:ascii="Arial" w:cs="Arial" w:eastAsia="Arial" w:hAnsi="Arial"/>
          <w:color w:val="2D2D2D"/>
          <w:sz w:val="21"/>
          <w:szCs w:val="21"/>
        </w:rPr>
        <w:t xml:space="preserve">The practice shall implement appropriate technical and organisational measures to ensure a level of security appropriate to the risk, in accordance with UK GDPR Article 32 and the National Data Guardian’s 10 Data Security Standards:</w:t>
      </w:r>
    </w:p>
    <w:p>
      <w:pPr>
        <w:pStyle w:val="ListParagraph"/>
        <w:numPr>
          <w:ilvl w:val="0"/>
          <w:numId w:val="2"/>
        </w:numPr>
        <w:spacing w:after="40" w:before="40"/>
      </w:pPr>
      <w:r>
        <w:rPr>
          <w:rFonts w:ascii="Arial" w:cs="Arial" w:eastAsia="Arial" w:hAnsi="Arial"/>
          <w:color w:val="2D2D2D"/>
          <w:sz w:val="20"/>
          <w:szCs w:val="20"/>
        </w:rPr>
        <w:t xml:space="preserve">Access control: role-based access to clinical systems; smartcard authentication for NHS Spine; unique user accounts (no shared logins); passwords meeting NHS complexity requirements; multi-factor authentication where available.</w:t>
      </w:r>
    </w:p>
    <w:p>
      <w:pPr>
        <w:pStyle w:val="ListParagraph"/>
        <w:numPr>
          <w:ilvl w:val="0"/>
          <w:numId w:val="2"/>
        </w:numPr>
        <w:spacing w:after="40" w:before="40"/>
      </w:pPr>
      <w:r>
        <w:rPr>
          <w:rFonts w:ascii="Arial" w:cs="Arial" w:eastAsia="Arial" w:hAnsi="Arial"/>
          <w:color w:val="2D2D2D"/>
          <w:sz w:val="20"/>
          <w:szCs w:val="20"/>
        </w:rPr>
        <w:t xml:space="preserve">Encryption: all portable devices (laptops, USB drives, mobile phones) shall be encrypted. Emails containing patient-identifiable data shall be sent via NHS Mail only.</w:t>
      </w:r>
    </w:p>
    <w:p>
      <w:pPr>
        <w:pStyle w:val="ListParagraph"/>
        <w:numPr>
          <w:ilvl w:val="0"/>
          <w:numId w:val="2"/>
        </w:numPr>
        <w:spacing w:after="40" w:before="40"/>
      </w:pPr>
      <w:r>
        <w:rPr>
          <w:rFonts w:ascii="Arial" w:cs="Arial" w:eastAsia="Arial" w:hAnsi="Arial"/>
          <w:color w:val="2D2D2D"/>
          <w:sz w:val="20"/>
          <w:szCs w:val="20"/>
        </w:rPr>
        <w:t xml:space="preserve">Network security: firewalls, antivirus, and endpoint protection maintained and updated; network access restricted; N3/HSCN connection secured; wireless networks segregated and encrypted.</w:t>
      </w:r>
    </w:p>
    <w:p>
      <w:pPr>
        <w:pStyle w:val="ListParagraph"/>
        <w:numPr>
          <w:ilvl w:val="0"/>
          <w:numId w:val="2"/>
        </w:numPr>
        <w:spacing w:after="40" w:before="40"/>
      </w:pPr>
      <w:r>
        <w:rPr>
          <w:rFonts w:ascii="Arial" w:cs="Arial" w:eastAsia="Arial" w:hAnsi="Arial"/>
          <w:color w:val="2D2D2D"/>
          <w:sz w:val="20"/>
          <w:szCs w:val="20"/>
        </w:rPr>
        <w:t xml:space="preserve">Physical security: servers in locked rooms; paper records in locked cabinets; clear desk policy; confidential waste shredded or disposed of via secure destruction contractor.</w:t>
      </w:r>
    </w:p>
    <w:p>
      <w:pPr>
        <w:pStyle w:val="ListParagraph"/>
        <w:numPr>
          <w:ilvl w:val="0"/>
          <w:numId w:val="2"/>
        </w:numPr>
        <w:spacing w:after="40" w:before="40"/>
      </w:pPr>
      <w:r>
        <w:rPr>
          <w:rFonts w:ascii="Arial" w:cs="Arial" w:eastAsia="Arial" w:hAnsi="Arial"/>
          <w:color w:val="2D2D2D"/>
          <w:sz w:val="20"/>
          <w:szCs w:val="20"/>
        </w:rPr>
        <w:t xml:space="preserve">Backup and recovery: clinical data backed up daily to encrypted offsite storage; backup restoration tested six-monthly; business continuity plan maintained.</w:t>
      </w:r>
    </w:p>
    <w:p>
      <w:pPr>
        <w:pStyle w:val="ListParagraph"/>
        <w:numPr>
          <w:ilvl w:val="0"/>
          <w:numId w:val="2"/>
        </w:numPr>
        <w:spacing w:after="40" w:before="40"/>
      </w:pPr>
      <w:r>
        <w:rPr>
          <w:rFonts w:ascii="Arial" w:cs="Arial" w:eastAsia="Arial" w:hAnsi="Arial"/>
          <w:color w:val="2D2D2D"/>
          <w:sz w:val="20"/>
          <w:szCs w:val="20"/>
        </w:rPr>
        <w:t xml:space="preserve">Patching and updates: operating systems and applications patched within 14 days of release for critical updates; unsupported software removed.</w:t>
      </w:r>
    </w:p>
    <w:p>
      <w:pPr>
        <w:pStyle w:val="Heading2"/>
        <w:spacing w:after="80" w:before="240"/>
      </w:pPr>
      <w:r>
        <w:rPr>
          <w:rFonts w:ascii="Arial" w:cs="Arial" w:eastAsia="Arial" w:hAnsi="Arial"/>
          <w:b/>
          <w:bCs/>
          <w:color w:val="0B1D3A"/>
          <w:sz w:val="24"/>
          <w:szCs w:val="24"/>
        </w:rPr>
        <w:t xml:space="preserve">7.5 Data Breach Management</w:t>
      </w:r>
    </w:p>
    <w:p>
      <w:pPr>
        <w:spacing w:after="80" w:before="60"/>
        <w:jc w:val="both"/>
      </w:pPr>
      <w:r>
        <w:rPr>
          <w:rFonts w:ascii="Arial" w:cs="Arial" w:eastAsia="Arial" w:hAnsi="Arial"/>
          <w:color w:val="2D2D2D"/>
          <w:sz w:val="21"/>
          <w:szCs w:val="21"/>
        </w:rPr>
        <w:t xml:space="preserve">A personal data breach is a breach of security leading to the accidental or unlawful destruction, loss, alteration, unauthorised disclosure of, or access to, personal data (UK GDPR Article 4(12)).</w:t>
      </w:r>
    </w:p>
    <w:p>
      <w:pPr>
        <w:spacing w:after="80" w:before="60"/>
        <w:jc w:val="both"/>
      </w:pPr>
      <w:r>
        <w:rPr>
          <w:rFonts w:ascii="Arial" w:cs="Arial" w:eastAsia="Arial" w:hAnsi="Arial"/>
          <w:color w:val="2D2D2D"/>
          <w:sz w:val="21"/>
          <w:szCs w:val="21"/>
        </w:rPr>
        <w:t xml:space="preserve">All staff shall report actual or suspected data breaches to the DPO/Practice Manager immediately and within one hour of discovery. The DPO shall assess the severity and, where the breach is likely to result in a risk to the rights and freedoms of individuals, notify the Information Commissioner’s Office (ICO) within 72 hours of becoming aware (UK GDPR Article 33).</w:t>
      </w:r>
    </w:p>
    <w:p>
      <w:pPr>
        <w:spacing w:after="80" w:before="60"/>
        <w:jc w:val="both"/>
      </w:pPr>
      <w:r>
        <w:rPr>
          <w:rFonts w:ascii="Arial" w:cs="Arial" w:eastAsia="Arial" w:hAnsi="Arial"/>
          <w:color w:val="2D2D2D"/>
          <w:sz w:val="21"/>
          <w:szCs w:val="21"/>
        </w:rPr>
        <w:t xml:space="preserve">Where the breach is likely to result in a high risk to the rights and freedoms of individuals, the affected data subjects shall be notified without undue delay (UK GDPR Article 34).</w:t>
      </w:r>
    </w:p>
    <w:p>
      <w:pPr>
        <w:spacing w:after="80" w:before="60"/>
        <w:jc w:val="both"/>
      </w:pPr>
      <w:r>
        <w:rPr>
          <w:rFonts w:ascii="Arial" w:cs="Arial" w:eastAsia="Arial" w:hAnsi="Arial"/>
          <w:color w:val="2D2D2D"/>
          <w:sz w:val="21"/>
          <w:szCs w:val="21"/>
        </w:rPr>
        <w:t xml:space="preserve">A data breach register shall be maintained, recording: date and time of breach; description; data subjects affected; risk assessment; containment and remediation actions; notification decisions; and lessons learned. All breaches (including those not reported to the ICO) shall be logged.</w:t>
      </w:r>
    </w:p>
    <w:p>
      <w:pPr>
        <w:pStyle w:val="Heading2"/>
        <w:spacing w:after="80" w:before="240"/>
      </w:pPr>
      <w:r>
        <w:rPr>
          <w:rFonts w:ascii="Arial" w:cs="Arial" w:eastAsia="Arial" w:hAnsi="Arial"/>
          <w:b/>
          <w:bCs/>
          <w:color w:val="0B1D3A"/>
          <w:sz w:val="24"/>
          <w:szCs w:val="24"/>
        </w:rPr>
        <w:t xml:space="preserve">7.6 Records Management and Retention</w:t>
      </w:r>
    </w:p>
    <w:p>
      <w:pPr>
        <w:spacing w:after="80" w:before="60"/>
        <w:jc w:val="both"/>
      </w:pPr>
      <w:r>
        <w:rPr>
          <w:rFonts w:ascii="Arial" w:cs="Arial" w:eastAsia="Arial" w:hAnsi="Arial"/>
          <w:color w:val="2D2D2D"/>
          <w:sz w:val="21"/>
          <w:szCs w:val="21"/>
        </w:rPr>
        <w:t xml:space="preserve">The practice shall manage records (electronic and paper) in accordance with the NHS Records Management Code of Practice 2021. Patient medical records shall be retained for the following minimum periods:</w:t>
      </w:r>
    </w:p>
    <w:p>
      <w:pPr>
        <w:pStyle w:val="ListParagraph"/>
        <w:numPr>
          <w:ilvl w:val="0"/>
          <w:numId w:val="2"/>
        </w:numPr>
        <w:spacing w:after="40" w:before="40"/>
      </w:pPr>
      <w:r>
        <w:rPr>
          <w:rFonts w:ascii="Arial" w:cs="Arial" w:eastAsia="Arial" w:hAnsi="Arial"/>
          <w:color w:val="2D2D2D"/>
          <w:sz w:val="20"/>
          <w:szCs w:val="20"/>
        </w:rPr>
        <w:t xml:space="preserve">GP medical records for adults: 10 years after death or after the patient has left the practice (whichever is earlier), or until the patient’s 25th birthday (whichever is longer)</w:t>
      </w:r>
    </w:p>
    <w:p>
      <w:pPr>
        <w:pStyle w:val="ListParagraph"/>
        <w:numPr>
          <w:ilvl w:val="0"/>
          <w:numId w:val="2"/>
        </w:numPr>
        <w:spacing w:after="40" w:before="40"/>
      </w:pPr>
      <w:r>
        <w:rPr>
          <w:rFonts w:ascii="Arial" w:cs="Arial" w:eastAsia="Arial" w:hAnsi="Arial"/>
          <w:color w:val="2D2D2D"/>
          <w:sz w:val="20"/>
          <w:szCs w:val="20"/>
        </w:rPr>
        <w:t xml:space="preserve">GP medical records for children: until the patient’s 25th birthday, or 10 years after the last entry (whichever is longer)</w:t>
      </w:r>
    </w:p>
    <w:p>
      <w:pPr>
        <w:pStyle w:val="ListParagraph"/>
        <w:numPr>
          <w:ilvl w:val="0"/>
          <w:numId w:val="2"/>
        </w:numPr>
        <w:spacing w:after="40" w:before="40"/>
      </w:pPr>
      <w:r>
        <w:rPr>
          <w:rFonts w:ascii="Arial" w:cs="Arial" w:eastAsia="Arial" w:hAnsi="Arial"/>
          <w:color w:val="2D2D2D"/>
          <w:sz w:val="20"/>
          <w:szCs w:val="20"/>
        </w:rPr>
        <w:t xml:space="preserve">Maternity records: 25 years after the birth of the last child</w:t>
      </w:r>
    </w:p>
    <w:p>
      <w:pPr>
        <w:pStyle w:val="ListParagraph"/>
        <w:numPr>
          <w:ilvl w:val="0"/>
          <w:numId w:val="2"/>
        </w:numPr>
        <w:spacing w:after="40" w:before="40"/>
      </w:pPr>
      <w:r>
        <w:rPr>
          <w:rFonts w:ascii="Arial" w:cs="Arial" w:eastAsia="Arial" w:hAnsi="Arial"/>
          <w:color w:val="2D2D2D"/>
          <w:sz w:val="20"/>
          <w:szCs w:val="20"/>
        </w:rPr>
        <w:t xml:space="preserve">Mental health records: 20 years after no further treatment or 8 years after death</w:t>
      </w:r>
    </w:p>
    <w:p>
      <w:pPr>
        <w:spacing w:after="80" w:before="60"/>
        <w:jc w:val="both"/>
      </w:pPr>
      <w:r>
        <w:rPr>
          <w:rFonts w:ascii="Arial" w:cs="Arial" w:eastAsia="Arial" w:hAnsi="Arial"/>
          <w:color w:val="2D2D2D"/>
          <w:sz w:val="21"/>
          <w:szCs w:val="21"/>
        </w:rPr>
        <w:t xml:space="preserve">Paper records awaiting destruction shall be stored securely and destroyed via a confidential waste contractor holding EN 15713 certification. A certificate of destruction shall be obtained and retained.</w:t>
      </w:r>
    </w:p>
    <w:p>
      <w:pPr>
        <w:pStyle w:val="Heading2"/>
        <w:spacing w:after="80" w:before="240"/>
      </w:pPr>
      <w:r>
        <w:rPr>
          <w:rFonts w:ascii="Arial" w:cs="Arial" w:eastAsia="Arial" w:hAnsi="Arial"/>
          <w:b/>
          <w:bCs/>
          <w:color w:val="0B1D3A"/>
          <w:sz w:val="24"/>
          <w:szCs w:val="24"/>
        </w:rPr>
        <w:t xml:space="preserve">7.7 Data Protection Impact Assessments (DPIAs)</w:t>
      </w:r>
    </w:p>
    <w:p>
      <w:pPr>
        <w:spacing w:after="80" w:before="60"/>
        <w:jc w:val="both"/>
      </w:pPr>
      <w:r>
        <w:rPr>
          <w:rFonts w:ascii="Arial" w:cs="Arial" w:eastAsia="Arial" w:hAnsi="Arial"/>
          <w:color w:val="2D2D2D"/>
          <w:sz w:val="21"/>
          <w:szCs w:val="21"/>
        </w:rPr>
        <w:t xml:space="preserve">A Data Protection Impact Assessment shall be conducted before any new processing activity that is likely to result in a high risk to the rights and freedoms of individuals (UK GDPR Article 35). This includes: introduction of new clinical systems; sharing data with new partners; use of new technologies; large-scale processing of special category data; and systematic monitoring.</w:t>
      </w:r>
    </w:p>
    <w:p>
      <w:pPr>
        <w:spacing w:after="80" w:before="60"/>
        <w:jc w:val="both"/>
      </w:pPr>
      <w:r>
        <w:rPr>
          <w:rFonts w:ascii="Arial" w:cs="Arial" w:eastAsia="Arial" w:hAnsi="Arial"/>
          <w:color w:val="2D2D2D"/>
          <w:sz w:val="21"/>
          <w:szCs w:val="21"/>
        </w:rPr>
        <w:t xml:space="preserve">The DPO shall lead the DPIA process, consulting with relevant stakeholders, the Caldicott Guardian, and (where required) the ICO. DPIAs shall be reviewed periodically and updated when processing activities change.</w:t>
      </w:r>
    </w:p>
    <w:p>
      <w:pPr>
        <w:pStyle w:val="Heading2"/>
        <w:spacing w:after="80" w:before="240"/>
      </w:pPr>
      <w:r>
        <w:rPr>
          <w:rFonts w:ascii="Arial" w:cs="Arial" w:eastAsia="Arial" w:hAnsi="Arial"/>
          <w:b/>
          <w:bCs/>
          <w:color w:val="0B1D3A"/>
          <w:sz w:val="24"/>
          <w:szCs w:val="24"/>
        </w:rPr>
        <w:t xml:space="preserve">7.8 Data Sharing and Third Parties</w:t>
      </w:r>
    </w:p>
    <w:p>
      <w:pPr>
        <w:spacing w:after="80" w:before="60"/>
        <w:jc w:val="both"/>
      </w:pPr>
      <w:r>
        <w:rPr>
          <w:rFonts w:ascii="Arial" w:cs="Arial" w:eastAsia="Arial" w:hAnsi="Arial"/>
          <w:color w:val="2D2D2D"/>
          <w:sz w:val="21"/>
          <w:szCs w:val="21"/>
        </w:rPr>
        <w:t xml:space="preserve">Personal data shall only be shared with third parties where there is a lawful basis, and subject to an Information Sharing Agreement (ISA) or Data Processing Agreement (DPA) as appropriate. All data processors shall be subject to due diligence and contractual obligations compliant with UK GDPR Article 28.</w:t>
      </w:r>
    </w:p>
    <w:p>
      <w:pPr>
        <w:spacing w:after="80" w:before="60"/>
        <w:jc w:val="both"/>
      </w:pPr>
      <w:r>
        <w:rPr>
          <w:rFonts w:ascii="Arial" w:cs="Arial" w:eastAsia="Arial" w:hAnsi="Arial"/>
          <w:color w:val="2D2D2D"/>
          <w:sz w:val="21"/>
          <w:szCs w:val="21"/>
        </w:rPr>
        <w:t xml:space="preserve">The practice shall maintain a register of data processors, reviewed annually, detailing: the processor’s identity, the processing activities undertaken, the lawful basis, and the security measures in place.</w:t>
      </w:r>
    </w:p>
    <w:p>
      <w:pPr>
        <w:spacing w:after="80" w:before="60"/>
        <w:jc w:val="both"/>
      </w:pPr>
      <w:r>
        <w:rPr>
          <w:rFonts w:ascii="Arial" w:cs="Arial" w:eastAsia="Arial" w:hAnsi="Arial"/>
          <w:color w:val="2D2D2D"/>
          <w:sz w:val="21"/>
          <w:szCs w:val="21"/>
        </w:rPr>
        <w:t xml:space="preserve">International transfers of personal data shall only take place where adequate safeguards are in place (UK GDPR Articles 44–49), such as an adequacy decision or Standard Contractual Clauses approved by the ICO.</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staff shall complete mandatory Information Governance training at induction and annually thereafter, covering: data protection principles, confidentiality, information security, data breach reporting, and data subject rights.</w:t>
      </w:r>
    </w:p>
    <w:p>
      <w:pPr>
        <w:pStyle w:val="ListParagraph"/>
        <w:numPr>
          <w:ilvl w:val="0"/>
          <w:numId w:val="2"/>
        </w:numPr>
        <w:spacing w:after="40" w:before="40"/>
      </w:pPr>
      <w:r>
        <w:rPr>
          <w:rFonts w:ascii="Arial" w:cs="Arial" w:eastAsia="Arial" w:hAnsi="Arial"/>
          <w:color w:val="2D2D2D"/>
          <w:sz w:val="20"/>
          <w:szCs w:val="20"/>
        </w:rPr>
        <w:t xml:space="preserve">IG training completion shall be recorded and reported as part of the annual DSPT submission. A minimum of 95% staff compliance is required to meet DSPT standards.</w:t>
      </w:r>
    </w:p>
    <w:p>
      <w:pPr>
        <w:pStyle w:val="ListParagraph"/>
        <w:numPr>
          <w:ilvl w:val="0"/>
          <w:numId w:val="2"/>
        </w:numPr>
        <w:spacing w:after="40" w:before="40"/>
      </w:pPr>
      <w:r>
        <w:rPr>
          <w:rFonts w:ascii="Arial" w:cs="Arial" w:eastAsia="Arial" w:hAnsi="Arial"/>
          <w:color w:val="2D2D2D"/>
          <w:sz w:val="20"/>
          <w:szCs w:val="20"/>
        </w:rPr>
        <w:t xml:space="preserve">The DPO and Caldicott Guardian shall attend specialist IG training and conferences to maintain their expertise and awareness of emerging data protection issues.</w:t>
      </w:r>
    </w:p>
    <w:p>
      <w:pPr>
        <w:pStyle w:val="ListParagraph"/>
        <w:numPr>
          <w:ilvl w:val="0"/>
          <w:numId w:val="2"/>
        </w:numPr>
        <w:spacing w:after="40" w:before="40"/>
      </w:pPr>
      <w:r>
        <w:rPr>
          <w:rFonts w:ascii="Arial" w:cs="Arial" w:eastAsia="Arial" w:hAnsi="Arial"/>
          <w:color w:val="2D2D2D"/>
          <w:sz w:val="20"/>
          <w:szCs w:val="20"/>
        </w:rPr>
        <w:t xml:space="preserve">Role-specific training shall be provided for staff handling Subject Access Requests, data breach investigation, DPIA completion, and records management.</w:t>
      </w:r>
    </w:p>
    <w:p>
      <w:pPr>
        <w:pStyle w:val="ListParagraph"/>
        <w:numPr>
          <w:ilvl w:val="0"/>
          <w:numId w:val="2"/>
        </w:numPr>
        <w:spacing w:after="40" w:before="40"/>
      </w:pPr>
      <w:r>
        <w:rPr>
          <w:rFonts w:ascii="Arial" w:cs="Arial" w:eastAsia="Arial" w:hAnsi="Arial"/>
          <w:color w:val="2D2D2D"/>
          <w:sz w:val="20"/>
          <w:szCs w:val="20"/>
        </w:rPr>
        <w:t xml:space="preserve">Phishing awareness training shall be provided to all staff at least annually, supplemented by simulated phishing exercises conducted quarterly.</w:t>
      </w:r>
    </w:p>
    <w:p>
      <w:pPr>
        <w:pStyle w:val="ListParagraph"/>
        <w:numPr>
          <w:ilvl w:val="0"/>
          <w:numId w:val="2"/>
        </w:numPr>
        <w:spacing w:after="40" w:before="40"/>
      </w:pPr>
      <w:r>
        <w:rPr>
          <w:rFonts w:ascii="Arial" w:cs="Arial" w:eastAsia="Arial" w:hAnsi="Arial"/>
          <w:color w:val="2D2D2D"/>
          <w:sz w:val="20"/>
          <w:szCs w:val="20"/>
        </w:rPr>
        <w:t xml:space="preserve">Locums and temporary staff shall receive an IG induction briefing covering: acceptable use of clinical systems, confidentiality obligations, and data breach reporting procedures.</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DSPT self-assessment submission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 (June deadline)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 DPO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Clinical system access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DPO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Data breach register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DPO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IG training compliance check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Data processor register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DPO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Privacy notice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DPO / Caldicott Guardian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Records retention compliance check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Simulated phishing exercise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IT Lead / DPO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Full IG policy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DPO / Practice Manager</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BS-RA-DP-010 Data Protection and Information Governance Risk Assessment</w:t>
      </w:r>
    </w:p>
    <w:p>
      <w:pPr>
        <w:pStyle w:val="ListParagraph"/>
        <w:numPr>
          <w:ilvl w:val="0"/>
          <w:numId w:val="2"/>
        </w:numPr>
        <w:spacing w:after="40" w:before="40"/>
      </w:pPr>
      <w:r>
        <w:rPr>
          <w:rFonts w:ascii="Arial" w:cs="Arial" w:eastAsia="Arial" w:hAnsi="Arial"/>
          <w:color w:val="2D2D2D"/>
          <w:sz w:val="20"/>
          <w:szCs w:val="20"/>
        </w:rPr>
        <w:t xml:space="preserve">Practice IT Acceptable Use Policy</w:t>
      </w:r>
    </w:p>
    <w:p>
      <w:pPr>
        <w:pStyle w:val="ListParagraph"/>
        <w:numPr>
          <w:ilvl w:val="0"/>
          <w:numId w:val="2"/>
        </w:numPr>
        <w:spacing w:after="40" w:before="40"/>
      </w:pPr>
      <w:r>
        <w:rPr>
          <w:rFonts w:ascii="Arial" w:cs="Arial" w:eastAsia="Arial" w:hAnsi="Arial"/>
          <w:color w:val="2D2D2D"/>
          <w:sz w:val="20"/>
          <w:szCs w:val="20"/>
        </w:rPr>
        <w:t xml:space="preserve">Practice Social Media Policy</w:t>
      </w:r>
    </w:p>
    <w:p>
      <w:pPr>
        <w:pStyle w:val="ListParagraph"/>
        <w:numPr>
          <w:ilvl w:val="0"/>
          <w:numId w:val="2"/>
        </w:numPr>
        <w:spacing w:after="40" w:before="40"/>
      </w:pPr>
      <w:r>
        <w:rPr>
          <w:rFonts w:ascii="Arial" w:cs="Arial" w:eastAsia="Arial" w:hAnsi="Arial"/>
          <w:color w:val="2D2D2D"/>
          <w:sz w:val="20"/>
          <w:szCs w:val="20"/>
        </w:rPr>
        <w:t xml:space="preserve">Practice Subject Access Request Procedure</w:t>
      </w:r>
    </w:p>
    <w:p>
      <w:pPr>
        <w:pStyle w:val="ListParagraph"/>
        <w:numPr>
          <w:ilvl w:val="0"/>
          <w:numId w:val="2"/>
        </w:numPr>
        <w:spacing w:after="40" w:before="40"/>
      </w:pPr>
      <w:r>
        <w:rPr>
          <w:rFonts w:ascii="Arial" w:cs="Arial" w:eastAsia="Arial" w:hAnsi="Arial"/>
          <w:color w:val="2D2D2D"/>
          <w:sz w:val="20"/>
          <w:szCs w:val="20"/>
        </w:rPr>
        <w:t xml:space="preserve">Practice Data Breach Response Procedure</w:t>
      </w:r>
    </w:p>
    <w:p>
      <w:pPr>
        <w:pStyle w:val="ListParagraph"/>
        <w:numPr>
          <w:ilvl w:val="0"/>
          <w:numId w:val="2"/>
        </w:numPr>
        <w:spacing w:after="40" w:before="40"/>
      </w:pPr>
      <w:r>
        <w:rPr>
          <w:rFonts w:ascii="Arial" w:cs="Arial" w:eastAsia="Arial" w:hAnsi="Arial"/>
          <w:color w:val="2D2D2D"/>
          <w:sz w:val="20"/>
          <w:szCs w:val="20"/>
        </w:rPr>
        <w:t xml:space="preserve">Practice Records Retention and Destruction Schedule</w:t>
      </w:r>
    </w:p>
    <w:p>
      <w:pPr>
        <w:pStyle w:val="ListParagraph"/>
        <w:numPr>
          <w:ilvl w:val="0"/>
          <w:numId w:val="2"/>
        </w:numPr>
        <w:spacing w:after="40" w:before="40"/>
      </w:pPr>
      <w:r>
        <w:rPr>
          <w:rFonts w:ascii="Arial" w:cs="Arial" w:eastAsia="Arial" w:hAnsi="Arial"/>
          <w:color w:val="2D2D2D"/>
          <w:sz w:val="20"/>
          <w:szCs w:val="20"/>
        </w:rPr>
        <w:t xml:space="preserve">Practice Privacy Notice (Patients)</w:t>
      </w:r>
    </w:p>
    <w:p>
      <w:pPr>
        <w:pStyle w:val="ListParagraph"/>
        <w:numPr>
          <w:ilvl w:val="0"/>
          <w:numId w:val="2"/>
        </w:numPr>
        <w:spacing w:after="40" w:before="40"/>
      </w:pPr>
      <w:r>
        <w:rPr>
          <w:rFonts w:ascii="Arial" w:cs="Arial" w:eastAsia="Arial" w:hAnsi="Arial"/>
          <w:color w:val="2D2D2D"/>
          <w:sz w:val="20"/>
          <w:szCs w:val="20"/>
        </w:rPr>
        <w:t xml:space="preserve">Practice Privacy Notice (Staff)</w:t>
      </w:r>
    </w:p>
    <w:p>
      <w:pPr>
        <w:pStyle w:val="ListParagraph"/>
        <w:numPr>
          <w:ilvl w:val="0"/>
          <w:numId w:val="2"/>
        </w:numPr>
        <w:spacing w:after="40" w:before="40"/>
      </w:pPr>
      <w:r>
        <w:rPr>
          <w:rFonts w:ascii="Arial" w:cs="Arial" w:eastAsia="Arial" w:hAnsi="Arial"/>
          <w:color w:val="2D2D2D"/>
          <w:sz w:val="20"/>
          <w:szCs w:val="20"/>
        </w:rPr>
        <w:t xml:space="preserve">NHS Data Security and Protection Toolkit submission</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Data Protection Officer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BS-POL-DP-005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BS-POL-DP-005  |  Data Protection and Information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2026-05-15T12:48:44.032Z</dcterms:created>
  <dcterms:modified xsi:type="dcterms:W3CDTF">2026-05-15T12:48:44.032Z</dcterms:modified>
</cp:coreProperties>
</file>

<file path=docProps/custom.xml><?xml version="1.0" encoding="utf-8"?>
<Properties xmlns="http://schemas.openxmlformats.org/officeDocument/2006/custom-properties" xmlns:vt="http://schemas.openxmlformats.org/officeDocument/2006/docPropsVTypes"/>
</file>