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40"/>
        <w:jc w:val="center"/>
      </w:pPr>
      <w:r>
        <w:rPr>
          <w:rFonts w:ascii="Arial" w:cs="Arial" w:eastAsia="Arial" w:hAnsi="Arial"/>
          <w:b/>
          <w:bCs/>
          <w:caps/>
          <w:color w:val="D4AF37"/>
          <w:sz w:val="22"/>
          <w:szCs w:val="22"/>
        </w:rPr>
        <w:t xml:space="preserve">GP PRACTICE POLICY</w:t>
      </w:r>
    </w:p>
    <w:p>
      <w:pPr>
        <w:spacing w:after="20"/>
        <w:jc w:val="center"/>
      </w:pPr>
      <w:r>
        <w:rPr>
          <w:rFonts w:ascii="Arial" w:cs="Arial" w:eastAsia="Arial" w:hAnsi="Arial"/>
          <w:b/>
          <w:bCs/>
          <w:color w:val="0B1D3A"/>
          <w:sz w:val="40"/>
          <w:szCs w:val="40"/>
        </w:rPr>
        <w:t xml:space="preserve">EQUALITY, DIVERSITY AND INCLUSION</w:t>
      </w:r>
    </w:p>
    <w:p>
      <w:pPr>
        <w:spacing w:after="20"/>
        <w:jc w:val="center"/>
      </w:pPr>
      <w:r>
        <w:rPr>
          <w:rFonts w:ascii="Arial" w:cs="Arial" w:eastAsia="Arial" w:hAnsi="Arial"/>
          <w:i/>
          <w:iCs/>
          <w:color w:val="6B7280"/>
          <w:sz w:val="22"/>
          <w:szCs w:val="22"/>
        </w:rPr>
        <w:t xml:space="preserve">Promoting equality, eliminating discrimination, and fostering an inclusive practice for patients and staff</w:t>
      </w:r>
    </w:p>
    <w:p>
      <w:pPr>
        <w:pBdr>
          <w:bottom w:val="single" w:color="D4AF37" w:sz="8" w:space="1"/>
        </w:pBdr>
        <w:spacing w:after="160" w:before="1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Policy Reference</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BS-POL-EDI-009</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Version</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1.0</w:t>
            </w:r>
          </w:p>
        </w:tc>
      </w:tr>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Author</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Name]</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Date Issued</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Date]</w:t>
            </w:r>
          </w:p>
        </w:tc>
      </w:tr>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Approved By</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Name], [Insert Job Title]</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Review Date</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Date – 12 months]</w:t>
            </w:r>
          </w:p>
        </w:tc>
      </w:tr>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Practice Name</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Practice Name]</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Confidentiality</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0B1D3A"/>
                <w:sz w:val="19"/>
                <w:szCs w:val="19"/>
              </w:rPr>
              <w:t xml:space="preserve">Internal Use Only</w:t>
            </w:r>
          </w:p>
        </w:tc>
      </w:tr>
    </w:tbl>
    <w:p>
      <w:pPr>
        <w:spacing w:before="200"/>
      </w:pPr>
    </w:p>
    <w:p>
      <w:pPr>
        <w:spacing w:after="120" w:before="200"/>
      </w:pPr>
      <w:r>
        <w:rPr>
          <w:rFonts w:ascii="Arial" w:cs="Arial" w:eastAsia="Arial" w:hAnsi="Arial"/>
          <w:b/>
          <w:bCs/>
          <w:color w:val="0B1D3A"/>
          <w:sz w:val="26"/>
          <w:szCs w:val="26"/>
        </w:rPr>
        <w:t xml:space="preserve">CONTENTS</w:t>
      </w:r>
    </w:p>
    <w:p>
      <w:pPr>
        <w:pBdr>
          <w:bottom w:val="single" w:color="D4AF37" w:sz="3" w:space="1"/>
        </w:pBdr>
        <w:spacing w:after="80" w:before="8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Arial" w:cs="Arial" w:eastAsia="Arial" w:hAnsi="Arial"/>
          <w:b/>
          <w:bCs/>
          <w:color w:val="0B1D3A"/>
          <w:sz w:val="28"/>
          <w:szCs w:val="28"/>
        </w:rPr>
        <w:t xml:space="preserve">1. Policy Statement</w:t>
      </w:r>
    </w:p>
    <w:p>
      <w:pPr>
        <w:spacing w:after="80" w:before="60"/>
        <w:jc w:val="both"/>
      </w:pPr>
      <w:r>
        <w:rPr>
          <w:rFonts w:ascii="Arial" w:cs="Arial" w:eastAsia="Arial" w:hAnsi="Arial"/>
          <w:color w:val="2D2D2D"/>
          <w:sz w:val="21"/>
          <w:szCs w:val="21"/>
        </w:rPr>
        <w:t xml:space="preserve">The practice is committed to promoting equality of opportunity, valuing diversity, and fostering an inclusive environment for all patients, staff, and visitors. The practice will not tolerate discrimination, harassment, or victimisation on any grounds, and will actively advance equality in the delivery of healthcare services and in all employment practices. Every individual has the right to be treated with dignity and respect.</w:t>
      </w:r>
    </w:p>
    <w:p>
      <w:pPr>
        <w:pStyle w:val="Heading1"/>
        <w:spacing w:after="120" w:before="360"/>
      </w:pPr>
      <w:r>
        <w:rPr>
          <w:rFonts w:ascii="Arial" w:cs="Arial" w:eastAsia="Arial" w:hAnsi="Arial"/>
          <w:b/>
          <w:bCs/>
          <w:color w:val="0B1D3A"/>
          <w:sz w:val="28"/>
          <w:szCs w:val="28"/>
        </w:rPr>
        <w:t xml:space="preserve">2. Purpose</w:t>
      </w:r>
    </w:p>
    <w:p>
      <w:pPr>
        <w:spacing w:after="80" w:before="60"/>
        <w:jc w:val="both"/>
      </w:pPr>
      <w:r>
        <w:rPr>
          <w:rFonts w:ascii="Arial" w:cs="Arial" w:eastAsia="Arial" w:hAnsi="Arial"/>
          <w:color w:val="2D2D2D"/>
          <w:sz w:val="21"/>
          <w:szCs w:val="21"/>
        </w:rPr>
        <w:t xml:space="preserve">This policy sets out the practice’s commitment to meeting its legal duties under the Equality Act 2010, including the Public Sector Equality Duty, and to going beyond minimum compliance to create a truly inclusive and equitable healthcare environment.</w:t>
      </w:r>
    </w:p>
    <w:p>
      <w:pPr>
        <w:spacing w:after="80" w:before="60"/>
        <w:jc w:val="both"/>
      </w:pPr>
      <w:r>
        <w:rPr>
          <w:rFonts w:ascii="Arial" w:cs="Arial" w:eastAsia="Arial" w:hAnsi="Arial"/>
          <w:color w:val="2D2D2D"/>
          <w:sz w:val="21"/>
          <w:szCs w:val="21"/>
        </w:rPr>
        <w:t xml:space="preserve">The policy provides a framework for eliminating discrimination, advancing equality of opportunity, and fostering good relations between persons who share a protected characteristic and those who do not.</w:t>
      </w:r>
    </w:p>
    <w:p>
      <w:pPr>
        <w:pStyle w:val="Heading1"/>
        <w:spacing w:after="120" w:before="360"/>
      </w:pPr>
      <w:r>
        <w:rPr>
          <w:rFonts w:ascii="Arial" w:cs="Arial" w:eastAsia="Arial" w:hAnsi="Arial"/>
          <w:b/>
          <w:bCs/>
          <w:color w:val="0B1D3A"/>
          <w:sz w:val="28"/>
          <w:szCs w:val="28"/>
        </w:rPr>
        <w:t xml:space="preserve">3. Scope</w:t>
      </w:r>
    </w:p>
    <w:p>
      <w:pPr>
        <w:spacing w:after="80" w:before="60"/>
        <w:jc w:val="both"/>
      </w:pPr>
      <w:r>
        <w:rPr>
          <w:rFonts w:ascii="Arial" w:cs="Arial" w:eastAsia="Arial" w:hAnsi="Arial"/>
          <w:color w:val="2D2D2D"/>
          <w:sz w:val="21"/>
          <w:szCs w:val="21"/>
        </w:rPr>
        <w:t xml:space="preserve">This policy applies to:</w:t>
      </w:r>
    </w:p>
    <w:p>
      <w:pPr>
        <w:pStyle w:val="ListParagraph"/>
        <w:numPr>
          <w:ilvl w:val="0"/>
          <w:numId w:val="2"/>
        </w:numPr>
        <w:spacing w:after="40" w:before="40"/>
      </w:pPr>
      <w:r>
        <w:rPr>
          <w:rFonts w:ascii="Arial" w:cs="Arial" w:eastAsia="Arial" w:hAnsi="Arial"/>
          <w:color w:val="2D2D2D"/>
          <w:sz w:val="20"/>
          <w:szCs w:val="20"/>
        </w:rPr>
        <w:t xml:space="preserve">All patients, carers, and visitors accessing the practice’s services</w:t>
      </w:r>
    </w:p>
    <w:p>
      <w:pPr>
        <w:pStyle w:val="ListParagraph"/>
        <w:numPr>
          <w:ilvl w:val="0"/>
          <w:numId w:val="2"/>
        </w:numPr>
        <w:spacing w:after="40" w:before="40"/>
      </w:pPr>
      <w:r>
        <w:rPr>
          <w:rFonts w:ascii="Arial" w:cs="Arial" w:eastAsia="Arial" w:hAnsi="Arial"/>
          <w:color w:val="2D2D2D"/>
          <w:sz w:val="20"/>
          <w:szCs w:val="20"/>
        </w:rPr>
        <w:t xml:space="preserve">All staff, including employees, locums, trainees, students, contractors, and volunteers</w:t>
      </w:r>
    </w:p>
    <w:p>
      <w:pPr>
        <w:pStyle w:val="ListParagraph"/>
        <w:numPr>
          <w:ilvl w:val="0"/>
          <w:numId w:val="2"/>
        </w:numPr>
        <w:spacing w:after="40" w:before="40"/>
      </w:pPr>
      <w:r>
        <w:rPr>
          <w:rFonts w:ascii="Arial" w:cs="Arial" w:eastAsia="Arial" w:hAnsi="Arial"/>
          <w:color w:val="2D2D2D"/>
          <w:sz w:val="20"/>
          <w:szCs w:val="20"/>
        </w:rPr>
        <w:t xml:space="preserve">All aspects of service delivery, including access, consultation, treatment, referral, and communication</w:t>
      </w:r>
    </w:p>
    <w:p>
      <w:pPr>
        <w:pStyle w:val="ListParagraph"/>
        <w:numPr>
          <w:ilvl w:val="0"/>
          <w:numId w:val="2"/>
        </w:numPr>
        <w:spacing w:after="40" w:before="40"/>
      </w:pPr>
      <w:r>
        <w:rPr>
          <w:rFonts w:ascii="Arial" w:cs="Arial" w:eastAsia="Arial" w:hAnsi="Arial"/>
          <w:color w:val="2D2D2D"/>
          <w:sz w:val="20"/>
          <w:szCs w:val="20"/>
        </w:rPr>
        <w:t xml:space="preserve">All aspects of employment, including recruitment, selection, training, promotion, pay, terms and conditions, and termination</w:t>
      </w:r>
    </w:p>
    <w:p>
      <w:pPr>
        <w:pStyle w:val="Heading1"/>
        <w:spacing w:after="120" w:before="360"/>
      </w:pPr>
      <w:r>
        <w:rPr>
          <w:rFonts w:ascii="Arial" w:cs="Arial" w:eastAsia="Arial" w:hAnsi="Arial"/>
          <w:b/>
          <w:bCs/>
          <w:color w:val="0B1D3A"/>
          <w:sz w:val="28"/>
          <w:szCs w:val="28"/>
        </w:rPr>
        <w:t xml:space="preserve">4. Definitions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Term</w:t>
            </w:r>
          </w:p>
        </w:tc>
        <w:tc>
          <w:tcPr>
            <w:tcW w:type="dxa" w:w="65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Definition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Protected Characteristics</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The nine characteristics protected under the Equality Act 2010: age, disability, gender reassignment, marriage and civil partnership, pregnancy and maternity, race (including ethnicity and nationality), religion or belief, sex, and sexual orientation.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Direct Discrimination</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Treating a person less favourably than others because of a protected characteristic (Equality Act 2010, Section 13).</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Indirect Discrimination</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Applying a provision, criterion, or practice that puts persons sharing a protected characteristic at a particular disadvantage compared with others, where this cannot be objectively justified (Equality Act 2010, Section 19).</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Reasonable Adjustment</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 duty on the practice to take reasonable steps to remove or reduce barriers that substantially disadvantage disabled persons (Equality Act 2010, Sections 20–22).</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Equality Impact Assessment (EIA)</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 systematic analysis of a policy, practice, or decision to identify its actual or potential impact on persons with protected characteristics.</w:t>
            </w:r>
          </w:p>
        </w:tc>
      </w:tr>
    </w:tbl>
    <w:p>
      <w:pPr>
        <w:pStyle w:val="Heading1"/>
        <w:spacing w:after="120" w:before="360"/>
      </w:pPr>
      <w:r>
        <w:rPr>
          <w:rFonts w:ascii="Arial" w:cs="Arial" w:eastAsia="Arial" w:hAnsi="Arial"/>
          <w:b/>
          <w:bCs/>
          <w:color w:val="0B1D3A"/>
          <w:sz w:val="28"/>
          <w:szCs w:val="28"/>
        </w:rPr>
        <w:t xml:space="preserve">5. Legal and Regulatory Framework</w:t>
      </w:r>
    </w:p>
    <w:p>
      <w:pPr>
        <w:spacing w:after="80" w:before="60"/>
        <w:jc w:val="both"/>
      </w:pPr>
      <w:r>
        <w:rPr>
          <w:rFonts w:ascii="Arial" w:cs="Arial" w:eastAsia="Arial" w:hAnsi="Arial"/>
          <w:color w:val="2D2D2D"/>
          <w:sz w:val="21"/>
          <w:szCs w:val="21"/>
        </w:rPr>
        <w:t xml:space="preserve">This policy is underpinned by the following legislation, regulations, and authoritative guidance:</w:t>
      </w:r>
    </w:p>
    <w:p>
      <w:pPr>
        <w:pStyle w:val="ListParagraph"/>
        <w:numPr>
          <w:ilvl w:val="0"/>
          <w:numId w:val="2"/>
        </w:numPr>
        <w:spacing w:after="40" w:before="40"/>
      </w:pPr>
      <w:r>
        <w:rPr>
          <w:rFonts w:ascii="Arial" w:cs="Arial" w:eastAsia="Arial" w:hAnsi="Arial"/>
          <w:color w:val="2D2D2D"/>
          <w:sz w:val="20"/>
          <w:szCs w:val="20"/>
        </w:rPr>
        <w:t xml:space="preserve">Equality Act 2010 (Parts 3, 5, 11; Sections 4–27, 149 – Public Sector Equality Duty)</w:t>
      </w:r>
    </w:p>
    <w:p>
      <w:pPr>
        <w:pStyle w:val="ListParagraph"/>
        <w:numPr>
          <w:ilvl w:val="0"/>
          <w:numId w:val="2"/>
        </w:numPr>
        <w:spacing w:after="40" w:before="40"/>
      </w:pPr>
      <w:r>
        <w:rPr>
          <w:rFonts w:ascii="Arial" w:cs="Arial" w:eastAsia="Arial" w:hAnsi="Arial"/>
          <w:color w:val="2D2D2D"/>
          <w:sz w:val="20"/>
          <w:szCs w:val="20"/>
        </w:rPr>
        <w:t xml:space="preserve">The Equality Act 2010 (Specific Duties) Regulations 2011</w:t>
      </w:r>
    </w:p>
    <w:p>
      <w:pPr>
        <w:pStyle w:val="ListParagraph"/>
        <w:numPr>
          <w:ilvl w:val="0"/>
          <w:numId w:val="2"/>
        </w:numPr>
        <w:spacing w:after="40" w:before="40"/>
      </w:pPr>
      <w:r>
        <w:rPr>
          <w:rFonts w:ascii="Arial" w:cs="Arial" w:eastAsia="Arial" w:hAnsi="Arial"/>
          <w:color w:val="2D2D2D"/>
          <w:sz w:val="20"/>
          <w:szCs w:val="20"/>
        </w:rPr>
        <w:t xml:space="preserve">Human Rights Act 1998 (Articles 2, 3, 8, 14)</w:t>
      </w:r>
    </w:p>
    <w:p>
      <w:pPr>
        <w:pStyle w:val="ListParagraph"/>
        <w:numPr>
          <w:ilvl w:val="0"/>
          <w:numId w:val="2"/>
        </w:numPr>
        <w:spacing w:after="40" w:before="40"/>
      </w:pPr>
      <w:r>
        <w:rPr>
          <w:rFonts w:ascii="Arial" w:cs="Arial" w:eastAsia="Arial" w:hAnsi="Arial"/>
          <w:color w:val="2D2D2D"/>
          <w:sz w:val="20"/>
          <w:szCs w:val="20"/>
        </w:rPr>
        <w:t xml:space="preserve">The Health and Social Care Act 2008 (Regulated Activities) Regulations 2014 (Regulation 9 – Person-Centred Care; Regulation 10 – Dignity and Respect; Regulation 13 – Safeguarding)</w:t>
      </w:r>
    </w:p>
    <w:p>
      <w:pPr>
        <w:pStyle w:val="ListParagraph"/>
        <w:numPr>
          <w:ilvl w:val="0"/>
          <w:numId w:val="2"/>
        </w:numPr>
        <w:spacing w:after="40" w:before="40"/>
      </w:pPr>
      <w:r>
        <w:rPr>
          <w:rFonts w:ascii="Arial" w:cs="Arial" w:eastAsia="Arial" w:hAnsi="Arial"/>
          <w:color w:val="2D2D2D"/>
          <w:sz w:val="20"/>
          <w:szCs w:val="20"/>
        </w:rPr>
        <w:t xml:space="preserve">NHS Constitution for England (2023) – Rights and Pledges on Equality and Non-Discrimination</w:t>
      </w:r>
    </w:p>
    <w:p>
      <w:pPr>
        <w:pStyle w:val="ListParagraph"/>
        <w:numPr>
          <w:ilvl w:val="0"/>
          <w:numId w:val="2"/>
        </w:numPr>
        <w:spacing w:after="40" w:before="40"/>
      </w:pPr>
      <w:r>
        <w:rPr>
          <w:rFonts w:ascii="Arial" w:cs="Arial" w:eastAsia="Arial" w:hAnsi="Arial"/>
          <w:color w:val="2D2D2D"/>
          <w:sz w:val="20"/>
          <w:szCs w:val="20"/>
        </w:rPr>
        <w:t xml:space="preserve">The Accessible Information Standard (NHS England 2017)</w:t>
      </w:r>
    </w:p>
    <w:p>
      <w:pPr>
        <w:pStyle w:val="ListParagraph"/>
        <w:numPr>
          <w:ilvl w:val="0"/>
          <w:numId w:val="2"/>
        </w:numPr>
        <w:spacing w:after="40" w:before="40"/>
      </w:pPr>
      <w:r>
        <w:rPr>
          <w:rFonts w:ascii="Arial" w:cs="Arial" w:eastAsia="Arial" w:hAnsi="Arial"/>
          <w:color w:val="2D2D2D"/>
          <w:sz w:val="20"/>
          <w:szCs w:val="20"/>
        </w:rPr>
        <w:t xml:space="preserve">NHS Workforce Race Equality Standard (WRES)</w:t>
      </w:r>
    </w:p>
    <w:p>
      <w:pPr>
        <w:pStyle w:val="ListParagraph"/>
        <w:numPr>
          <w:ilvl w:val="0"/>
          <w:numId w:val="2"/>
        </w:numPr>
        <w:spacing w:after="40" w:before="40"/>
      </w:pPr>
      <w:r>
        <w:rPr>
          <w:rFonts w:ascii="Arial" w:cs="Arial" w:eastAsia="Arial" w:hAnsi="Arial"/>
          <w:color w:val="2D2D2D"/>
          <w:sz w:val="20"/>
          <w:szCs w:val="20"/>
        </w:rPr>
        <w:t xml:space="preserve">NHS Workforce Disability Equality Standard (WDES)</w:t>
      </w:r>
    </w:p>
    <w:p>
      <w:pPr>
        <w:pStyle w:val="ListParagraph"/>
        <w:numPr>
          <w:ilvl w:val="0"/>
          <w:numId w:val="2"/>
        </w:numPr>
        <w:spacing w:after="40" w:before="40"/>
      </w:pPr>
      <w:r>
        <w:rPr>
          <w:rFonts w:ascii="Arial" w:cs="Arial" w:eastAsia="Arial" w:hAnsi="Arial"/>
          <w:color w:val="2D2D2D"/>
          <w:sz w:val="20"/>
          <w:szCs w:val="20"/>
        </w:rPr>
        <w:t xml:space="preserve">NHS England Equality Delivery System (EDS)</w:t>
      </w:r>
    </w:p>
    <w:p>
      <w:pPr>
        <w:pStyle w:val="Heading1"/>
        <w:spacing w:after="120" w:before="360"/>
      </w:pPr>
      <w:r>
        <w:rPr>
          <w:rFonts w:ascii="Arial" w:cs="Arial" w:eastAsia="Arial" w:hAnsi="Arial"/>
          <w:b/>
          <w:bCs/>
          <w:color w:val="0B1D3A"/>
          <w:sz w:val="28"/>
          <w:szCs w:val="28"/>
        </w:rPr>
        <w:t xml:space="preserve">6. Roles and Responsibilities</w:t>
      </w:r>
    </w:p>
    <w:p>
      <w:pPr>
        <w:spacing w:after="80" w:before="60"/>
        <w:jc w:val="both"/>
      </w:pPr>
      <w:r>
        <w:rPr>
          <w:rFonts w:ascii="Arial" w:cs="Arial" w:eastAsia="Arial" w:hAnsi="Arial"/>
          <w:color w:val="2D2D2D"/>
          <w:sz w:val="21"/>
          <w:szCs w:val="21"/>
        </w:rPr>
        <w:t xml:space="preserve">The following roles and responsibilities are defined to ensure effective implementation and compliance with this policy: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6906"/>
      </w:tblGrid>
      <w:tr>
        <w:tc>
          <w:tcPr>
            <w:tcW w:type="dxa" w:w="26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Role</w:t>
            </w:r>
          </w:p>
        </w:tc>
        <w:tc>
          <w:tcPr>
            <w:tcW w:type="dxa" w:w="69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Responsibilities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Senior Partner / Lead GP</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Overall accountability for EDI; ensuring the practice’s culture actively promotes equality; championing EDI at leadership level; ensuring compliance with the Public Sector Equality Duty.</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Practice Manager</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Implementing EDI policy in day-to-day operations; ensuring recruitment and HR processes comply with the Equality Act; maintaining reasonable adjustments register; coordinating EDI training; managing complaints related to discrimination.</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EDI Lead (Appointed Staff Member)</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Monitoring EDI performance; supporting equality impact assessments; engaging with patient and community groups; identifying and addressing health inequalities; reporting to governance meetings.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All Staff</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Treating all persons with dignity and respect; challenging discriminatory behaviour; completing EDI training; applying reasonable adjustments; reporting discrimination, harassment, or bullying.</w:t>
            </w:r>
          </w:p>
        </w:tc>
      </w:tr>
    </w:tbl>
    <w:p>
      <w:pPr>
        <w:pStyle w:val="Heading1"/>
        <w:spacing w:after="120" w:before="360"/>
      </w:pPr>
      <w:r>
        <w:rPr>
          <w:rFonts w:ascii="Arial" w:cs="Arial" w:eastAsia="Arial" w:hAnsi="Arial"/>
          <w:b/>
          <w:bCs/>
          <w:color w:val="0B1D3A"/>
          <w:sz w:val="28"/>
          <w:szCs w:val="28"/>
        </w:rPr>
        <w:t xml:space="preserve">7. Policy Detail</w:t>
      </w:r>
    </w:p>
    <w:p>
      <w:pPr>
        <w:pStyle w:val="Heading2"/>
        <w:spacing w:after="80" w:before="240"/>
      </w:pPr>
      <w:r>
        <w:rPr>
          <w:rFonts w:ascii="Arial" w:cs="Arial" w:eastAsia="Arial" w:hAnsi="Arial"/>
          <w:b/>
          <w:bCs/>
          <w:color w:val="0B1D3A"/>
          <w:sz w:val="24"/>
          <w:szCs w:val="24"/>
        </w:rPr>
        <w:t xml:space="preserve">7.1 Equality in Service Delivery</w:t>
      </w:r>
    </w:p>
    <w:p>
      <w:pPr>
        <w:spacing w:after="80" w:before="60"/>
        <w:jc w:val="both"/>
      </w:pPr>
      <w:r>
        <w:rPr>
          <w:rFonts w:ascii="Arial" w:cs="Arial" w:eastAsia="Arial" w:hAnsi="Arial"/>
          <w:color w:val="2D2D2D"/>
          <w:sz w:val="21"/>
          <w:szCs w:val="21"/>
        </w:rPr>
        <w:t xml:space="preserve">The practice shall ensure that all patients receive equitable access to high-quality healthcare services, regardless of any protected characteristic. Services shall be planned and delivered to meet the needs of the practice population, with particular attention to the needs of underserved and marginalised groups.</w:t>
      </w:r>
    </w:p>
    <w:p>
      <w:pPr>
        <w:spacing w:after="80" w:before="60"/>
        <w:jc w:val="both"/>
      </w:pPr>
      <w:r>
        <w:rPr>
          <w:rFonts w:ascii="Arial" w:cs="Arial" w:eastAsia="Arial" w:hAnsi="Arial"/>
          <w:color w:val="2D2D2D"/>
          <w:sz w:val="21"/>
          <w:szCs w:val="21"/>
        </w:rPr>
        <w:t xml:space="preserve">The practice shall collect, analyse, and act upon demographic data (where appropriate and with consent) to identify health inequalities and tailor services accordingly. This includes monitoring access, outcomes, and patient experience by protected characteristics.</w:t>
      </w:r>
    </w:p>
    <w:p>
      <w:pPr>
        <w:spacing w:after="80" w:before="60"/>
        <w:jc w:val="both"/>
      </w:pPr>
      <w:r>
        <w:rPr>
          <w:rFonts w:ascii="Arial" w:cs="Arial" w:eastAsia="Arial" w:hAnsi="Arial"/>
          <w:color w:val="2D2D2D"/>
          <w:sz w:val="21"/>
          <w:szCs w:val="21"/>
        </w:rPr>
        <w:t xml:space="preserve">Where patients face barriers to accessing services (language, disability, sensory impairment, digital exclusion, cultural factors), the practice shall take proactive steps to address those barriers through reasonable adjustments and targeted outreach.</w:t>
      </w:r>
    </w:p>
    <w:p>
      <w:pPr>
        <w:pStyle w:val="Heading2"/>
        <w:spacing w:after="80" w:before="240"/>
      </w:pPr>
      <w:r>
        <w:rPr>
          <w:rFonts w:ascii="Arial" w:cs="Arial" w:eastAsia="Arial" w:hAnsi="Arial"/>
          <w:b/>
          <w:bCs/>
          <w:color w:val="0B1D3A"/>
          <w:sz w:val="24"/>
          <w:szCs w:val="24"/>
        </w:rPr>
        <w:t xml:space="preserve">7.2 Reasonable Adjustments</w:t>
      </w:r>
    </w:p>
    <w:p>
      <w:pPr>
        <w:spacing w:after="80" w:before="60"/>
        <w:jc w:val="both"/>
      </w:pPr>
      <w:r>
        <w:rPr>
          <w:rFonts w:ascii="Arial" w:cs="Arial" w:eastAsia="Arial" w:hAnsi="Arial"/>
          <w:color w:val="2D2D2D"/>
          <w:sz w:val="21"/>
          <w:szCs w:val="21"/>
        </w:rPr>
        <w:t xml:space="preserve">The practice has a legal duty under the Equality Act 2010 to make reasonable adjustments for disabled patients and staff to prevent substantial disadvantage. Reasonable adjustments may include:</w:t>
      </w:r>
    </w:p>
    <w:p>
      <w:pPr>
        <w:pStyle w:val="ListParagraph"/>
        <w:numPr>
          <w:ilvl w:val="0"/>
          <w:numId w:val="2"/>
        </w:numPr>
        <w:spacing w:after="40" w:before="40"/>
      </w:pPr>
      <w:r>
        <w:rPr>
          <w:rFonts w:ascii="Arial" w:cs="Arial" w:eastAsia="Arial" w:hAnsi="Arial"/>
          <w:color w:val="2D2D2D"/>
          <w:sz w:val="20"/>
          <w:szCs w:val="20"/>
        </w:rPr>
        <w:t xml:space="preserve">Physical adjustments: accessible premises (ramp access, hearing loops, accessible toilets, appropriate signage), adjustable examination couches, wheelchair-accessible consulting rooms</w:t>
      </w:r>
    </w:p>
    <w:p>
      <w:pPr>
        <w:pStyle w:val="ListParagraph"/>
        <w:numPr>
          <w:ilvl w:val="0"/>
          <w:numId w:val="2"/>
        </w:numPr>
        <w:spacing w:after="40" w:before="40"/>
      </w:pPr>
      <w:r>
        <w:rPr>
          <w:rFonts w:ascii="Arial" w:cs="Arial" w:eastAsia="Arial" w:hAnsi="Arial"/>
          <w:color w:val="2D2D2D"/>
          <w:sz w:val="20"/>
          <w:szCs w:val="20"/>
        </w:rPr>
        <w:t xml:space="preserve">Communication adjustments: British Sign Language interpreters, easy-read materials, large-print or audio communications, appointment reminders in preferred format</w:t>
      </w:r>
    </w:p>
    <w:p>
      <w:pPr>
        <w:pStyle w:val="ListParagraph"/>
        <w:numPr>
          <w:ilvl w:val="0"/>
          <w:numId w:val="2"/>
        </w:numPr>
        <w:spacing w:after="40" w:before="40"/>
      </w:pPr>
      <w:r>
        <w:rPr>
          <w:rFonts w:ascii="Arial" w:cs="Arial" w:eastAsia="Arial" w:hAnsi="Arial"/>
          <w:color w:val="2D2D2D"/>
          <w:sz w:val="20"/>
          <w:szCs w:val="20"/>
        </w:rPr>
        <w:t xml:space="preserve">Service adjustments: longer appointment times, double appointments, home visits, flexible appointment booking, quiet waiting areas, first/last appointment of the day</w:t>
      </w:r>
    </w:p>
    <w:p>
      <w:pPr>
        <w:pStyle w:val="ListParagraph"/>
        <w:numPr>
          <w:ilvl w:val="0"/>
          <w:numId w:val="2"/>
        </w:numPr>
        <w:spacing w:after="40" w:before="40"/>
      </w:pPr>
      <w:r>
        <w:rPr>
          <w:rFonts w:ascii="Arial" w:cs="Arial" w:eastAsia="Arial" w:hAnsi="Arial"/>
          <w:color w:val="2D2D2D"/>
          <w:sz w:val="20"/>
          <w:szCs w:val="20"/>
        </w:rPr>
        <w:t xml:space="preserve">Employment adjustments: flexible working, workplace adaptations, phased return to work, modified duties, Access to Work support</w:t>
      </w:r>
    </w:p>
    <w:p>
      <w:pPr>
        <w:spacing w:after="80" w:before="60"/>
        <w:jc w:val="both"/>
      </w:pPr>
      <w:r>
        <w:rPr>
          <w:rFonts w:ascii="Arial" w:cs="Arial" w:eastAsia="Arial" w:hAnsi="Arial"/>
          <w:color w:val="2D2D2D"/>
          <w:sz w:val="21"/>
          <w:szCs w:val="21"/>
        </w:rPr>
        <w:t xml:space="preserve">A reasonable adjustments register shall be maintained on the clinical system, flagging patients who require specific adjustments. Staff shall check for and implement these adjustments at every patient contact.</w:t>
      </w:r>
    </w:p>
    <w:p>
      <w:pPr>
        <w:pStyle w:val="Heading2"/>
        <w:spacing w:after="80" w:before="240"/>
      </w:pPr>
      <w:r>
        <w:rPr>
          <w:rFonts w:ascii="Arial" w:cs="Arial" w:eastAsia="Arial" w:hAnsi="Arial"/>
          <w:b/>
          <w:bCs/>
          <w:color w:val="0B1D3A"/>
          <w:sz w:val="24"/>
          <w:szCs w:val="24"/>
        </w:rPr>
        <w:t xml:space="preserve">7.3 Accessible Information Standard</w:t>
      </w:r>
    </w:p>
    <w:p>
      <w:pPr>
        <w:spacing w:after="80" w:before="60"/>
        <w:jc w:val="both"/>
      </w:pPr>
      <w:r>
        <w:rPr>
          <w:rFonts w:ascii="Arial" w:cs="Arial" w:eastAsia="Arial" w:hAnsi="Arial"/>
          <w:color w:val="2D2D2D"/>
          <w:sz w:val="21"/>
          <w:szCs w:val="21"/>
        </w:rPr>
        <w:t xml:space="preserve">The practice shall comply with the NHS England Accessible Information Standard (2017), which requires the practice to: Ask patients about their communication needs; Record those needs in a clearly identifiable way on the clinical system; Flag the needs so they are visible to all staff; Share the information with other NHS providers (with consent); and Act on the needs by providing information in accessible formats.</w:t>
      </w:r>
    </w:p>
    <w:p>
      <w:pPr>
        <w:spacing w:after="80" w:before="60"/>
        <w:jc w:val="both"/>
      </w:pPr>
      <w:r>
        <w:rPr>
          <w:rFonts w:ascii="Arial" w:cs="Arial" w:eastAsia="Arial" w:hAnsi="Arial"/>
          <w:color w:val="2D2D2D"/>
          <w:sz w:val="21"/>
          <w:szCs w:val="21"/>
        </w:rPr>
        <w:t xml:space="preserve">Communication needs shall be identified at registration and reviewed periodically. The practice shall maintain a directory of translation, interpretation, and accessible format services and ensure these can be accessed promptly.</w:t>
      </w:r>
    </w:p>
    <w:p>
      <w:pPr>
        <w:pStyle w:val="Heading2"/>
        <w:spacing w:after="80" w:before="240"/>
      </w:pPr>
      <w:r>
        <w:rPr>
          <w:rFonts w:ascii="Arial" w:cs="Arial" w:eastAsia="Arial" w:hAnsi="Arial"/>
          <w:b/>
          <w:bCs/>
          <w:color w:val="0B1D3A"/>
          <w:sz w:val="24"/>
          <w:szCs w:val="24"/>
        </w:rPr>
        <w:t xml:space="preserve">7.4 Interpreting and Translation Services</w:t>
      </w:r>
    </w:p>
    <w:p>
      <w:pPr>
        <w:spacing w:after="80" w:before="60"/>
        <w:jc w:val="both"/>
      </w:pPr>
      <w:r>
        <w:rPr>
          <w:rFonts w:ascii="Arial" w:cs="Arial" w:eastAsia="Arial" w:hAnsi="Arial"/>
          <w:color w:val="2D2D2D"/>
          <w:sz w:val="21"/>
          <w:szCs w:val="21"/>
        </w:rPr>
        <w:t xml:space="preserve">Professional interpreting services (telephone, video, or face-to-face) shall be offered to all patients whose first language is not English or who have communication difficulties. Family members, including children, shall not be used as interpreters for clinical consultations, except in emergencies where no alternative is available.</w:t>
      </w:r>
    </w:p>
    <w:p>
      <w:pPr>
        <w:spacing w:after="80" w:before="60"/>
        <w:jc w:val="both"/>
      </w:pPr>
      <w:r>
        <w:rPr>
          <w:rFonts w:ascii="Arial" w:cs="Arial" w:eastAsia="Arial" w:hAnsi="Arial"/>
          <w:color w:val="2D2D2D"/>
          <w:sz w:val="21"/>
          <w:szCs w:val="21"/>
        </w:rPr>
        <w:t xml:space="preserve">Key practice documents (new patient registration form, privacy notice, complaints information) shall be available in commonly spoken community languages. Requests for translated materials shall be accommodated within a reasonable timescale.</w:t>
      </w:r>
    </w:p>
    <w:p>
      <w:pPr>
        <w:pStyle w:val="Heading2"/>
        <w:spacing w:after="80" w:before="240"/>
      </w:pPr>
      <w:r>
        <w:rPr>
          <w:rFonts w:ascii="Arial" w:cs="Arial" w:eastAsia="Arial" w:hAnsi="Arial"/>
          <w:b/>
          <w:bCs/>
          <w:color w:val="0B1D3A"/>
          <w:sz w:val="24"/>
          <w:szCs w:val="24"/>
        </w:rPr>
        <w:t xml:space="preserve">7.5 Equality in Employment</w:t>
      </w:r>
    </w:p>
    <w:p>
      <w:pPr>
        <w:spacing w:after="80" w:before="60"/>
        <w:jc w:val="both"/>
      </w:pPr>
      <w:r>
        <w:rPr>
          <w:rFonts w:ascii="Arial" w:cs="Arial" w:eastAsia="Arial" w:hAnsi="Arial"/>
          <w:color w:val="2D2D2D"/>
          <w:sz w:val="21"/>
          <w:szCs w:val="21"/>
        </w:rPr>
        <w:t xml:space="preserve">The practice shall ensure that all employment practices comply with the Equality Act 2010 and promote equality of opportunity. This includes: recruitment and selection based solely on merit and job-related criteria; fair and transparent pay structures; equal access to training, development, and promotion; and a workplace free from discrimination, harassment, bullying, and victimisation.</w:t>
      </w:r>
    </w:p>
    <w:p>
      <w:pPr>
        <w:spacing w:after="80" w:before="60"/>
        <w:jc w:val="both"/>
      </w:pPr>
      <w:r>
        <w:rPr>
          <w:rFonts w:ascii="Arial" w:cs="Arial" w:eastAsia="Arial" w:hAnsi="Arial"/>
          <w:color w:val="2D2D2D"/>
          <w:sz w:val="21"/>
          <w:szCs w:val="21"/>
        </w:rPr>
        <w:t xml:space="preserve">Job advertisements, person specifications, and interview processes shall be reviewed for potential bias. The practice shall consider positive action measures where evidence shows underrepresentation of particular groups.</w:t>
      </w:r>
    </w:p>
    <w:p>
      <w:pPr>
        <w:spacing w:after="80" w:before="60"/>
        <w:jc w:val="both"/>
      </w:pPr>
      <w:r>
        <w:rPr>
          <w:rFonts w:ascii="Arial" w:cs="Arial" w:eastAsia="Arial" w:hAnsi="Arial"/>
          <w:color w:val="2D2D2D"/>
          <w:sz w:val="21"/>
          <w:szCs w:val="21"/>
        </w:rPr>
        <w:t xml:space="preserve">The practice shall monitor the diversity of its workforce and use this data to identify and address any inequalities in employment practice.</w:t>
      </w:r>
    </w:p>
    <w:p>
      <w:pPr>
        <w:pStyle w:val="Heading2"/>
        <w:spacing w:after="80" w:before="240"/>
      </w:pPr>
      <w:r>
        <w:rPr>
          <w:rFonts w:ascii="Arial" w:cs="Arial" w:eastAsia="Arial" w:hAnsi="Arial"/>
          <w:b/>
          <w:bCs/>
          <w:color w:val="0B1D3A"/>
          <w:sz w:val="24"/>
          <w:szCs w:val="24"/>
        </w:rPr>
        <w:t xml:space="preserve">7.6 Addressing Health Inequalities</w:t>
      </w:r>
    </w:p>
    <w:p>
      <w:pPr>
        <w:spacing w:after="80" w:before="60"/>
        <w:jc w:val="both"/>
      </w:pPr>
      <w:r>
        <w:rPr>
          <w:rFonts w:ascii="Arial" w:cs="Arial" w:eastAsia="Arial" w:hAnsi="Arial"/>
          <w:color w:val="2D2D2D"/>
          <w:sz w:val="21"/>
          <w:szCs w:val="21"/>
        </w:rPr>
        <w:t xml:space="preserve">The practice shall take an active role in identifying and addressing health inequalities within its patient population. This includes: proactive outreach to patients from deprived communities, ethnic minorities, and other underserved groups; targeted health promotion and screening programmes; partnership working with community organisations, voluntary sector, and social prescribing services.</w:t>
      </w:r>
    </w:p>
    <w:p>
      <w:pPr>
        <w:spacing w:after="80" w:before="60"/>
        <w:jc w:val="both"/>
      </w:pPr>
      <w:r>
        <w:rPr>
          <w:rFonts w:ascii="Arial" w:cs="Arial" w:eastAsia="Arial" w:hAnsi="Arial"/>
          <w:color w:val="2D2D2D"/>
          <w:sz w:val="21"/>
          <w:szCs w:val="21"/>
        </w:rPr>
        <w:t xml:space="preserve">Clinical staff shall be aware of the impact of social determinants of health (poverty, housing, education, employment, discrimination) on health outcomes and shall consider these factors in clinical decision-making and care planning.</w:t>
      </w:r>
    </w:p>
    <w:p>
      <w:pPr>
        <w:pStyle w:val="Heading2"/>
        <w:spacing w:after="80" w:before="240"/>
      </w:pPr>
      <w:r>
        <w:rPr>
          <w:rFonts w:ascii="Arial" w:cs="Arial" w:eastAsia="Arial" w:hAnsi="Arial"/>
          <w:b/>
          <w:bCs/>
          <w:color w:val="0B1D3A"/>
          <w:sz w:val="24"/>
          <w:szCs w:val="24"/>
        </w:rPr>
        <w:t xml:space="preserve">7.7 Discrimination, Harassment, and Bullying</w:t>
      </w:r>
    </w:p>
    <w:p>
      <w:pPr>
        <w:spacing w:after="80" w:before="60"/>
        <w:jc w:val="both"/>
      </w:pPr>
      <w:r>
        <w:rPr>
          <w:rFonts w:ascii="Arial" w:cs="Arial" w:eastAsia="Arial" w:hAnsi="Arial"/>
          <w:color w:val="2D2D2D"/>
          <w:sz w:val="21"/>
          <w:szCs w:val="21"/>
        </w:rPr>
        <w:t xml:space="preserve">The practice operates a zero-tolerance policy towards all forms of discrimination, harassment, victimisation, and bullying, whether directed at patients, staff, or visitors. This includes discrimination by patients towards staff.</w:t>
      </w:r>
    </w:p>
    <w:p>
      <w:pPr>
        <w:spacing w:after="80" w:before="60"/>
        <w:jc w:val="both"/>
      </w:pPr>
      <w:r>
        <w:rPr>
          <w:rFonts w:ascii="Arial" w:cs="Arial" w:eastAsia="Arial" w:hAnsi="Arial"/>
          <w:color w:val="2D2D2D"/>
          <w:sz w:val="21"/>
          <w:szCs w:val="21"/>
        </w:rPr>
        <w:t xml:space="preserve">Any allegation of discrimination, harassment, or bullying shall be taken seriously, investigated promptly and fairly, and dealt with in accordance with the relevant procedure (complaints procedure for patient complaints; disciplinary/grievance procedure for staff matters). Staff are encouraged to report incidents without fear of detriment.</w:t>
      </w:r>
    </w:p>
    <w:p>
      <w:pPr>
        <w:spacing w:after="80" w:before="60"/>
        <w:jc w:val="both"/>
      </w:pPr>
      <w:r>
        <w:rPr>
          <w:rFonts w:ascii="Arial" w:cs="Arial" w:eastAsia="Arial" w:hAnsi="Arial"/>
          <w:color w:val="2D2D2D"/>
          <w:sz w:val="21"/>
          <w:szCs w:val="21"/>
        </w:rPr>
        <w:t xml:space="preserve">Where a patient’s discriminatory behaviour towards staff is persistent and unreasonable, the practice may consider appropriate action under its Zero Tolerance and Violent Patient Policy, including a written warning or removal from the practice list after due process.</w:t>
      </w:r>
    </w:p>
    <w:p>
      <w:pPr>
        <w:pStyle w:val="Heading2"/>
        <w:spacing w:after="80" w:before="240"/>
      </w:pPr>
      <w:r>
        <w:rPr>
          <w:rFonts w:ascii="Arial" w:cs="Arial" w:eastAsia="Arial" w:hAnsi="Arial"/>
          <w:b/>
          <w:bCs/>
          <w:color w:val="0B1D3A"/>
          <w:sz w:val="24"/>
          <w:szCs w:val="24"/>
        </w:rPr>
        <w:t xml:space="preserve">7.8 Equality Impact Assessments</w:t>
      </w:r>
    </w:p>
    <w:p>
      <w:pPr>
        <w:spacing w:after="80" w:before="60"/>
        <w:jc w:val="both"/>
      </w:pPr>
      <w:r>
        <w:rPr>
          <w:rFonts w:ascii="Arial" w:cs="Arial" w:eastAsia="Arial" w:hAnsi="Arial"/>
          <w:color w:val="2D2D2D"/>
          <w:sz w:val="21"/>
          <w:szCs w:val="21"/>
        </w:rPr>
        <w:t xml:space="preserve">An Equality Impact Assessment (EIA) shall be conducted when developing, reviewing, or changing any policy, service, or practice that may affect patients or staff with protected characteristics. The EIA shall identify any potential adverse impact and propose mitigating actions.</w:t>
      </w:r>
    </w:p>
    <w:p>
      <w:pPr>
        <w:spacing w:after="80" w:before="60"/>
        <w:jc w:val="both"/>
      </w:pPr>
      <w:r>
        <w:rPr>
          <w:rFonts w:ascii="Arial" w:cs="Arial" w:eastAsia="Arial" w:hAnsi="Arial"/>
          <w:color w:val="2D2D2D"/>
          <w:sz w:val="21"/>
          <w:szCs w:val="21"/>
        </w:rPr>
        <w:t xml:space="preserve">All practice policies shall include an Equality and Diversity statement confirming that they have been subject to an EIA.</w:t>
      </w:r>
    </w:p>
    <w:p>
      <w:pPr>
        <w:pStyle w:val="Heading1"/>
        <w:spacing w:after="120" w:before="360"/>
      </w:pPr>
      <w:r>
        <w:rPr>
          <w:rFonts w:ascii="Arial" w:cs="Arial" w:eastAsia="Arial" w:hAnsi="Arial"/>
          <w:b/>
          <w:bCs/>
          <w:color w:val="0B1D3A"/>
          <w:sz w:val="28"/>
          <w:szCs w:val="28"/>
        </w:rPr>
        <w:t xml:space="preserve">8. Training and Awareness</w:t>
      </w:r>
    </w:p>
    <w:p>
      <w:pPr>
        <w:pStyle w:val="ListParagraph"/>
        <w:numPr>
          <w:ilvl w:val="0"/>
          <w:numId w:val="2"/>
        </w:numPr>
        <w:spacing w:after="40" w:before="40"/>
      </w:pPr>
      <w:r>
        <w:rPr>
          <w:rFonts w:ascii="Arial" w:cs="Arial" w:eastAsia="Arial" w:hAnsi="Arial"/>
          <w:color w:val="2D2D2D"/>
          <w:sz w:val="20"/>
          <w:szCs w:val="20"/>
        </w:rPr>
        <w:t xml:space="preserve">All staff shall complete Equality, Diversity and Inclusion training at induction and as refresher training at least every three years.</w:t>
      </w:r>
    </w:p>
    <w:p>
      <w:pPr>
        <w:pStyle w:val="ListParagraph"/>
        <w:numPr>
          <w:ilvl w:val="0"/>
          <w:numId w:val="2"/>
        </w:numPr>
        <w:spacing w:after="40" w:before="40"/>
      </w:pPr>
      <w:r>
        <w:rPr>
          <w:rFonts w:ascii="Arial" w:cs="Arial" w:eastAsia="Arial" w:hAnsi="Arial"/>
          <w:color w:val="2D2D2D"/>
          <w:sz w:val="20"/>
          <w:szCs w:val="20"/>
        </w:rPr>
        <w:t xml:space="preserve">Training shall cover: the Equality Act 2010, protected characteristics, unconscious bias, cultural competence, reasonable adjustments, the Accessible Information Standard, and the practice’s EDI policy.</w:t>
      </w:r>
    </w:p>
    <w:p>
      <w:pPr>
        <w:pStyle w:val="ListParagraph"/>
        <w:numPr>
          <w:ilvl w:val="0"/>
          <w:numId w:val="2"/>
        </w:numPr>
        <w:spacing w:after="40" w:before="40"/>
      </w:pPr>
      <w:r>
        <w:rPr>
          <w:rFonts w:ascii="Arial" w:cs="Arial" w:eastAsia="Arial" w:hAnsi="Arial"/>
          <w:color w:val="2D2D2D"/>
          <w:sz w:val="20"/>
          <w:szCs w:val="20"/>
        </w:rPr>
        <w:t xml:space="preserve">Clinical staff shall receive training on health inequalities, culturally sensitive consultation skills, and working with interpreters.</w:t>
      </w:r>
    </w:p>
    <w:p>
      <w:pPr>
        <w:pStyle w:val="ListParagraph"/>
        <w:numPr>
          <w:ilvl w:val="0"/>
          <w:numId w:val="2"/>
        </w:numPr>
        <w:spacing w:after="40" w:before="40"/>
      </w:pPr>
      <w:r>
        <w:rPr>
          <w:rFonts w:ascii="Arial" w:cs="Arial" w:eastAsia="Arial" w:hAnsi="Arial"/>
          <w:color w:val="2D2D2D"/>
          <w:sz w:val="20"/>
          <w:szCs w:val="20"/>
        </w:rPr>
        <w:t xml:space="preserve">Managers and those involved in recruitment shall receive specific training on fair recruitment, avoiding bias in selection, and making workplace adjustments.</w:t>
      </w:r>
    </w:p>
    <w:p>
      <w:pPr>
        <w:pStyle w:val="ListParagraph"/>
        <w:numPr>
          <w:ilvl w:val="0"/>
          <w:numId w:val="2"/>
        </w:numPr>
        <w:spacing w:after="40" w:before="40"/>
      </w:pPr>
      <w:r>
        <w:rPr>
          <w:rFonts w:ascii="Arial" w:cs="Arial" w:eastAsia="Arial" w:hAnsi="Arial"/>
          <w:color w:val="2D2D2D"/>
          <w:sz w:val="20"/>
          <w:szCs w:val="20"/>
        </w:rPr>
        <w:t xml:space="preserve">The practice shall promote awareness of national EDI awareness events and campaigns (e.g. LGBT+ History Month, Black History Month, Disability Awareness Month) through internal communications.</w:t>
      </w:r>
    </w:p>
    <w:p>
      <w:pPr>
        <w:pStyle w:val="Heading1"/>
        <w:spacing w:after="120" w:before="360"/>
      </w:pPr>
      <w:r>
        <w:rPr>
          <w:rFonts w:ascii="Arial" w:cs="Arial" w:eastAsia="Arial" w:hAnsi="Arial"/>
          <w:b/>
          <w:bCs/>
          <w:color w:val="0B1D3A"/>
          <w:sz w:val="28"/>
          <w:szCs w:val="28"/>
        </w:rPr>
        <w:t xml:space="preserve">9. Monitoring and Compliance</w:t>
      </w:r>
    </w:p>
    <w:p>
      <w:pPr>
        <w:spacing w:after="80" w:before="60"/>
        <w:jc w:val="both"/>
      </w:pPr>
      <w:r>
        <w:rPr>
          <w:rFonts w:ascii="Arial" w:cs="Arial" w:eastAsia="Arial" w:hAnsi="Arial"/>
          <w:color w:val="2D2D2D"/>
          <w:sz w:val="21"/>
          <w:szCs w:val="21"/>
        </w:rPr>
        <w:t xml:space="preserve">Compliance with this policy shall be monitored through the following mechanisms: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106"/>
      </w:tblGrid>
      <w:tr>
        <w:tc>
          <w:tcPr>
            <w:tcW w:type="dxa" w:w="32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Monitoring Activity</w:t>
            </w:r>
          </w:p>
        </w:tc>
        <w:tc>
          <w:tcPr>
            <w:tcW w:type="dxa" w:w="22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Frequency</w:t>
            </w:r>
          </w:p>
        </w:tc>
        <w:tc>
          <w:tcPr>
            <w:tcW w:type="dxa" w:w="41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Responsible Person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Patient complaints related to discrimination or access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Per occurrence / Quarterly review</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Practice Manager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Reasonable adjustments register audit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Six-monthly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EDI Lead / Practice Manager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Accessible Information Standard compliance check</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Annually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EDI Lead / Practice Manager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Workforce diversity monitoring</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Annually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Practice Manager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Patient experience survey analysis by demographics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Annually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EDI Lead / Practice Manager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Equality Impact Assessment programme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Per new/revised policy or service</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EDI Lead</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Full EDI policy review</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Annually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Senior Partner / Practice Manager</w:t>
            </w:r>
          </w:p>
        </w:tc>
      </w:tr>
    </w:tbl>
    <w:p>
      <w:pPr>
        <w:pStyle w:val="Heading1"/>
        <w:spacing w:after="120" w:before="360"/>
      </w:pPr>
      <w:r>
        <w:rPr>
          <w:rFonts w:ascii="Arial" w:cs="Arial" w:eastAsia="Arial" w:hAnsi="Arial"/>
          <w:b/>
          <w:bCs/>
          <w:color w:val="0B1D3A"/>
          <w:sz w:val="28"/>
          <w:szCs w:val="28"/>
        </w:rPr>
        <w:t xml:space="preserve">10. Related Policies and Documents</w:t>
      </w:r>
    </w:p>
    <w:p>
      <w:pPr>
        <w:pStyle w:val="ListParagraph"/>
        <w:numPr>
          <w:ilvl w:val="0"/>
          <w:numId w:val="2"/>
        </w:numPr>
        <w:spacing w:after="40" w:before="40"/>
      </w:pPr>
      <w:r>
        <w:rPr>
          <w:rFonts w:ascii="Arial" w:cs="Arial" w:eastAsia="Arial" w:hAnsi="Arial"/>
          <w:color w:val="2D2D2D"/>
          <w:sz w:val="20"/>
          <w:szCs w:val="20"/>
        </w:rPr>
        <w:t xml:space="preserve">BS-POL-HS-001 Health and Safety Policy</w:t>
      </w:r>
    </w:p>
    <w:p>
      <w:pPr>
        <w:pStyle w:val="ListParagraph"/>
        <w:numPr>
          <w:ilvl w:val="0"/>
          <w:numId w:val="2"/>
        </w:numPr>
        <w:spacing w:after="40" w:before="40"/>
      </w:pPr>
      <w:r>
        <w:rPr>
          <w:rFonts w:ascii="Arial" w:cs="Arial" w:eastAsia="Arial" w:hAnsi="Arial"/>
          <w:color w:val="2D2D2D"/>
          <w:sz w:val="20"/>
          <w:szCs w:val="20"/>
        </w:rPr>
        <w:t xml:space="preserve">BS-POL-CH-008 Complaints Handling Policy</w:t>
      </w:r>
    </w:p>
    <w:p>
      <w:pPr>
        <w:pStyle w:val="ListParagraph"/>
        <w:numPr>
          <w:ilvl w:val="0"/>
          <w:numId w:val="2"/>
        </w:numPr>
        <w:spacing w:after="40" w:before="40"/>
      </w:pPr>
      <w:r>
        <w:rPr>
          <w:rFonts w:ascii="Arial" w:cs="Arial" w:eastAsia="Arial" w:hAnsi="Arial"/>
          <w:color w:val="2D2D2D"/>
          <w:sz w:val="20"/>
          <w:szCs w:val="20"/>
        </w:rPr>
        <w:t xml:space="preserve">Practice Dignity at Work Policy</w:t>
      </w:r>
    </w:p>
    <w:p>
      <w:pPr>
        <w:pStyle w:val="ListParagraph"/>
        <w:numPr>
          <w:ilvl w:val="0"/>
          <w:numId w:val="2"/>
        </w:numPr>
        <w:spacing w:after="40" w:before="40"/>
      </w:pPr>
      <w:r>
        <w:rPr>
          <w:rFonts w:ascii="Arial" w:cs="Arial" w:eastAsia="Arial" w:hAnsi="Arial"/>
          <w:color w:val="2D2D2D"/>
          <w:sz w:val="20"/>
          <w:szCs w:val="20"/>
        </w:rPr>
        <w:t xml:space="preserve">Practice Recruitment and Selection Procedure</w:t>
      </w:r>
    </w:p>
    <w:p>
      <w:pPr>
        <w:pStyle w:val="ListParagraph"/>
        <w:numPr>
          <w:ilvl w:val="0"/>
          <w:numId w:val="2"/>
        </w:numPr>
        <w:spacing w:after="40" w:before="40"/>
      </w:pPr>
      <w:r>
        <w:rPr>
          <w:rFonts w:ascii="Arial" w:cs="Arial" w:eastAsia="Arial" w:hAnsi="Arial"/>
          <w:color w:val="2D2D2D"/>
          <w:sz w:val="20"/>
          <w:szCs w:val="20"/>
        </w:rPr>
        <w:t xml:space="preserve">Practice Grievance and Disciplinary Procedure</w:t>
      </w:r>
    </w:p>
    <w:p>
      <w:pPr>
        <w:pStyle w:val="ListParagraph"/>
        <w:numPr>
          <w:ilvl w:val="0"/>
          <w:numId w:val="2"/>
        </w:numPr>
        <w:spacing w:after="40" w:before="40"/>
      </w:pPr>
      <w:r>
        <w:rPr>
          <w:rFonts w:ascii="Arial" w:cs="Arial" w:eastAsia="Arial" w:hAnsi="Arial"/>
          <w:color w:val="2D2D2D"/>
          <w:sz w:val="20"/>
          <w:szCs w:val="20"/>
        </w:rPr>
        <w:t xml:space="preserve">Practice Chaperone Policy</w:t>
      </w:r>
    </w:p>
    <w:p>
      <w:pPr>
        <w:pStyle w:val="ListParagraph"/>
        <w:numPr>
          <w:ilvl w:val="0"/>
          <w:numId w:val="2"/>
        </w:numPr>
        <w:spacing w:after="40" w:before="40"/>
      </w:pPr>
      <w:r>
        <w:rPr>
          <w:rFonts w:ascii="Arial" w:cs="Arial" w:eastAsia="Arial" w:hAnsi="Arial"/>
          <w:color w:val="2D2D2D"/>
          <w:sz w:val="20"/>
          <w:szCs w:val="20"/>
        </w:rPr>
        <w:t xml:space="preserve">Practice Patient Participation Group (PPG) Terms of Reference</w:t>
      </w:r>
    </w:p>
    <w:p>
      <w:pPr>
        <w:pStyle w:val="Heading1"/>
        <w:spacing w:after="120" w:before="360"/>
      </w:pPr>
      <w:r>
        <w:rPr>
          <w:rFonts w:ascii="Arial" w:cs="Arial" w:eastAsia="Arial" w:hAnsi="Arial"/>
          <w:b/>
          <w:bCs/>
          <w:color w:val="0B1D3A"/>
          <w:sz w:val="28"/>
          <w:szCs w:val="28"/>
        </w:rPr>
        <w:t xml:space="preserve">11. Equality and Diversity Statement</w:t>
      </w:r>
    </w:p>
    <w:p>
      <w:pPr>
        <w:spacing w:after="80" w:before="60"/>
        <w:jc w:val="both"/>
      </w:pPr>
      <w:r>
        <w:rPr>
          <w:rFonts w:ascii="Arial" w:cs="Arial" w:eastAsia="Arial" w:hAnsi="Arial"/>
          <w:color w:val="2D2D2D"/>
          <w:sz w:val="21"/>
          <w:szCs w:val="21"/>
        </w:rPr>
        <w:t xml:space="preserve">This policy has been subject to an Equality Impact Assessment. The practice is committed to ensuring that this policy is applied fairly and consistently to all persons regardless of age, disability, gender reassignment, marriage and civil partnership, pregnancy and maternity, race, religion or belief, sex, or sexual orientation, in accordance with the Equality Act 2010. Reasonable adjustments will be made for staff and patients with protected characteristics where required.</w:t>
      </w:r>
    </w:p>
    <w:p>
      <w:pPr>
        <w:pStyle w:val="Heading1"/>
        <w:spacing w:after="120" w:before="360"/>
      </w:pPr>
      <w:r>
        <w:rPr>
          <w:rFonts w:ascii="Arial" w:cs="Arial" w:eastAsia="Arial" w:hAnsi="Arial"/>
          <w:b/>
          <w:bCs/>
          <w:color w:val="0B1D3A"/>
          <w:sz w:val="28"/>
          <w:szCs w:val="28"/>
        </w:rPr>
        <w:t xml:space="preserve">12. Review</w:t>
      </w:r>
    </w:p>
    <w:p>
      <w:pPr>
        <w:spacing w:after="80" w:before="60"/>
        <w:jc w:val="both"/>
      </w:pPr>
      <w:r>
        <w:rPr>
          <w:rFonts w:ascii="Arial" w:cs="Arial" w:eastAsia="Arial" w:hAnsi="Arial"/>
          <w:color w:val="2D2D2D"/>
          <w:sz w:val="21"/>
          <w:szCs w:val="21"/>
        </w:rPr>
        <w:t xml:space="preserve">This policy shall be reviewed at least annually, or sooner in the event of changes to legislation, regulatory guidance, national standards, significant incidents, or organisational changes. The next scheduled review date is [Insert Date – 12 months from approval]. The Senior Partner / Practice Manager is responsible for initiating the review process and ensuring updated versions are disseminated to all relevant staff.</w:t>
      </w:r>
    </w:p>
    <w:p>
      <w:r>
        <w:br w:type="page"/>
      </w:r>
    </w:p>
    <w:p>
      <w:pPr>
        <w:pStyle w:val="Heading1"/>
        <w:spacing w:after="120" w:before="360"/>
      </w:pPr>
      <w:r>
        <w:rPr>
          <w:rFonts w:ascii="Arial" w:cs="Arial" w:eastAsia="Arial" w:hAnsi="Arial"/>
          <w:b/>
          <w:bCs/>
          <w:color w:val="0B1D3A"/>
          <w:sz w:val="28"/>
          <w:szCs w:val="28"/>
        </w:rPr>
        <w:t xml:space="preserve">13. Approval and Sign-Off</w:t>
      </w:r>
    </w:p>
    <w:p>
      <w:pPr>
        <w:spacing w:after="80" w:before="60"/>
        <w:jc w:val="both"/>
      </w:pPr>
      <w:r>
        <w:rPr>
          <w:rFonts w:ascii="Arial" w:cs="Arial" w:eastAsia="Arial" w:hAnsi="Arial"/>
          <w:color w:val="2D2D2D"/>
          <w:sz w:val="21"/>
          <w:szCs w:val="21"/>
        </w:rPr>
        <w:t xml:space="preserve">This policy has been reviewed and approved by the following authorised persons:</w:t>
      </w:r>
    </w:p>
    <w:p>
      <w:pPr>
        <w:spacing w:before="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00"/>
        <w:gridCol w:w="1400"/>
        <w:gridCol w:w="2600"/>
        <w:gridCol w:w="2406"/>
      </w:tblGrid>
      <w:tr>
        <w:tc>
          <w:tcPr>
            <w:tcW w:type="dxa" w:w="31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Role</w:t>
            </w:r>
          </w:p>
        </w:tc>
        <w:tc>
          <w:tcPr>
            <w:tcW w:type="dxa" w:w="1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Print Name</w:t>
            </w:r>
          </w:p>
        </w:tc>
        <w:tc>
          <w:tcPr>
            <w:tcW w:type="dxa" w:w="26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Signature</w:t>
            </w:r>
          </w:p>
        </w:tc>
        <w:tc>
          <w:tcPr>
            <w:tcW w:type="dxa" w:w="24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Date</w:t>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Policy Author: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Practice Manager: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Senior Partner / Lead GP: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Caldicott Guardian / IG Lead: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bl>
    <w:p>
      <w:pPr>
        <w:spacing w:before="200"/>
      </w:pPr>
    </w:p>
    <w:p>
      <w:pPr>
        <w:pBdr>
          <w:bottom w:val="single" w:color="D4AF37" w:sz="8" w:space="1"/>
        </w:pBdr>
        <w:spacing w:after="160" w:before="160"/>
      </w:pPr>
    </w:p>
    <w:p>
      <w:pPr>
        <w:spacing w:after="100" w:before="160"/>
      </w:pPr>
      <w:r>
        <w:rPr>
          <w:rFonts w:ascii="Arial" w:cs="Arial" w:eastAsia="Arial" w:hAnsi="Arial"/>
          <w:b/>
          <w:bCs/>
          <w:color w:val="0B1D3A"/>
          <w:sz w:val="24"/>
          <w:szCs w:val="24"/>
        </w:rPr>
        <w:t xml:space="preserve">Version History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4106"/>
      </w:tblGrid>
      <w:tr>
        <w:tc>
          <w:tcPr>
            <w:tcW w:type="dxa" w:w="1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Version</w:t>
            </w:r>
          </w:p>
        </w:tc>
        <w:tc>
          <w:tcPr>
            <w:tcW w:type="dxa" w:w="18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Date</w:t>
            </w:r>
          </w:p>
        </w:tc>
        <w:tc>
          <w:tcPr>
            <w:tcW w:type="dxa" w:w="22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Author</w:t>
            </w:r>
          </w:p>
        </w:tc>
        <w:tc>
          <w:tcPr>
            <w:tcW w:type="dxa" w:w="41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Summary of Changes</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color w:val="2D2D2D"/>
                <w:sz w:val="19"/>
                <w:szCs w:val="19"/>
              </w:rPr>
              <w:t xml:space="preserve">1.0</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Date]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Name]</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Initial issue</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bl>
    <w:p>
      <w:pPr>
        <w:spacing w:before="300"/>
      </w:pPr>
    </w:p>
    <w:p>
      <w:pPr>
        <w:pBdr>
          <w:top w:val="single" w:color="D4AF37" w:sz="4" w:space="1"/>
        </w:pBdr>
        <w:spacing w:before="200"/>
        <w:jc w:val="center"/>
      </w:pPr>
      <w:r>
        <w:rPr>
          <w:rFonts w:ascii="Arial" w:cs="Arial" w:eastAsia="Arial" w:hAnsi="Arial"/>
          <w:b/>
          <w:bCs/>
          <w:color w:val="0B1D3A"/>
          <w:sz w:val="18"/>
          <w:szCs w:val="18"/>
        </w:rPr>
        <w:t xml:space="preserve">Prepared by Barker Scott  |  barker-scott.co.uk  |  Health &amp; Safety Consultants</w:t>
      </w:r>
    </w:p>
    <w:p>
      <w:pPr>
        <w:spacing w:after="200" w:before="60"/>
        <w:jc w:val="center"/>
      </w:pPr>
      <w:r>
        <w:rPr>
          <w:rFonts w:ascii="Arial" w:cs="Arial" w:eastAsia="Arial" w:hAnsi="Arial"/>
          <w:i/>
          <w:iCs/>
          <w:color w:val="6B7280"/>
          <w:sz w:val="14"/>
          <w:szCs w:val="14"/>
        </w:rPr>
        <w:t xml:space="preserve">This document is confidential and intended solely for use by the named practice. Unauthorised reproduction or distribution is prohibited.</w:t>
      </w:r>
    </w:p>
    <w:sectPr>
      <w:headerReference w:type="default" r:id="rId7"/>
      <w:footerReference w:type="default" r:id="rId8"/>
      <w:pgSz w:w="11906" w:h="16838" w:orient="portrait"/>
      <w:pgMar w:top="16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3" w:space="1"/>
      </w:pBdr>
      <w:spacing w:before="60"/>
    </w:pPr>
    <w:r>
      <w:rPr>
        <w:rFonts w:ascii="Arial" w:cs="Arial" w:eastAsia="Arial" w:hAnsi="Arial"/>
        <w:color w:val="6B7280"/>
        <w:sz w:val="14"/>
        <w:szCs w:val="14"/>
      </w:rPr>
      <w:t xml:space="preserve">BS-POL-EDI-009  |  v1.0  |  </w:t>
    </w:r>
    <w:r>
      <w:rPr>
        <w:rFonts w:ascii="Arial" w:cs="Arial" w:eastAsia="Arial" w:hAnsi="Arial"/>
        <w:color w:val="6B7280"/>
        <w:sz w:val="14"/>
        <w:szCs w:val="14"/>
      </w:rPr>
      <w:t xml:space="preserve">Page </w:t>
    </w:r>
    <w:r>
      <w:rPr>
        <w:rFonts w:ascii="Arial" w:cs="Arial" w:eastAsia="Arial" w:hAnsi="Arial"/>
        <w:color w:val="6B7280"/>
        <w:sz w:val="14"/>
        <w:szCs w:val="14"/>
      </w:rPr>
      <w:fldChar w:fldCharType="begin"/>
      <w:instrText xml:space="preserve">PAGE</w:instrText>
      <w:fldChar w:fldCharType="separate"/>
      <w:fldChar w:fldCharType="end"/>
    </w:r>
    <w:r>
      <w:rPr>
        <w:rFonts w:ascii="Arial" w:cs="Arial" w:eastAsia="Arial" w:hAnsi="Arial"/>
        <w:color w:val="6B7280"/>
        <w:sz w:val="14"/>
        <w:szCs w:val="14"/>
      </w:rPr>
      <w:t xml:space="preserve">  |  Barker Scott ©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40"/>
    </w:pPr>
    <w:r>
      <w:rPr>
        <w:rFonts w:ascii="Arial" w:cs="Arial" w:eastAsia="Arial" w:hAnsi="Arial"/>
        <w:b/>
        <w:bCs/>
        <w:color w:val="0B1D3A"/>
        <w:sz w:val="22"/>
        <w:szCs w:val="22"/>
      </w:rPr>
      <w:t xml:space="preserve">BARKER SCOTT</w:t>
    </w:r>
    <w:r>
      <w:rPr>
        <w:rFonts w:ascii="Arial" w:cs="Arial" w:eastAsia="Arial" w:hAnsi="Arial"/>
        <w:color w:val="D4AF37"/>
        <w:sz w:val="18"/>
        <w:szCs w:val="18"/>
      </w:rPr>
      <w:t xml:space="preserve">  |  </w:t>
    </w:r>
    <w:r>
      <w:rPr>
        <w:rFonts w:ascii="Arial" w:cs="Arial" w:eastAsia="Arial" w:hAnsi="Arial"/>
        <w:color w:val="6B7280"/>
        <w:sz w:val="18"/>
        <w:szCs w:val="18"/>
      </w:rPr>
      <w:t xml:space="preserve">Health &amp; Safety Consultants</w:t>
    </w:r>
  </w:p>
  <w:p>
    <w:pPr>
      <w:pBdr>
        <w:bottom w:val="single" w:color="D4AF37" w:sz="6" w:space="1"/>
      </w:pBdr>
      <w:spacing w:after="60"/>
    </w:pPr>
    <w:r>
      <w:rPr>
        <w:rFonts w:ascii="Arial" w:cs="Arial" w:eastAsia="Arial" w:hAnsi="Arial"/>
        <w:i/>
        <w:iCs/>
        <w:color w:val="6B7280"/>
        <w:sz w:val="15"/>
        <w:szCs w:val="15"/>
      </w:rPr>
      <w:t xml:space="preserve">BS-POL-EDI-009  |  Equality, Diversity and Inclusion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B1D3A"/>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B1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2026-05-15T12:48:44.302Z</dcterms:created>
  <dcterms:modified xsi:type="dcterms:W3CDTF">2026-05-15T12:48:44.302Z</dcterms:modified>
</cp:coreProperties>
</file>

<file path=docProps/custom.xml><?xml version="1.0" encoding="utf-8"?>
<Properties xmlns="http://schemas.openxmlformats.org/officeDocument/2006/custom-properties" xmlns:vt="http://schemas.openxmlformats.org/officeDocument/2006/docPropsVTypes"/>
</file>