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40"/>
        <w:jc w:val="center"/>
      </w:pPr>
      <w:r>
        <w:rPr>
          <w:rFonts w:ascii="Arial" w:cs="Arial" w:eastAsia="Arial" w:hAnsi="Arial"/>
          <w:b/>
          <w:bCs/>
          <w:caps/>
          <w:color w:val="D4AF37"/>
          <w:sz w:val="22"/>
          <w:szCs w:val="22"/>
        </w:rPr>
        <w:t xml:space="preserve">GP PRACTICE POLICY</w:t>
      </w:r>
    </w:p>
    <w:p>
      <w:pPr>
        <w:spacing w:after="20"/>
        <w:jc w:val="center"/>
      </w:pPr>
      <w:r>
        <w:rPr>
          <w:rFonts w:ascii="Arial" w:cs="Arial" w:eastAsia="Arial" w:hAnsi="Arial"/>
          <w:b/>
          <w:bCs/>
          <w:color w:val="0B1D3A"/>
          <w:sz w:val="40"/>
          <w:szCs w:val="40"/>
        </w:rPr>
        <w:t xml:space="preserve">FIRE SAFETY</w:t>
      </w:r>
    </w:p>
    <w:p>
      <w:pPr>
        <w:spacing w:after="20"/>
        <w:jc w:val="center"/>
      </w:pPr>
      <w:r>
        <w:rPr>
          <w:rFonts w:ascii="Arial" w:cs="Arial" w:eastAsia="Arial" w:hAnsi="Arial"/>
          <w:i/>
          <w:iCs/>
          <w:color w:val="6B7280"/>
          <w:sz w:val="22"/>
          <w:szCs w:val="22"/>
        </w:rPr>
        <w:t xml:space="preserve">Fire prevention, detection, and evacuation management for general practice premises</w:t>
      </w:r>
    </w:p>
    <w:p>
      <w:pPr>
        <w:pBdr>
          <w:bottom w:val="single" w:color="D4AF37" w:sz="8" w:space="1"/>
        </w:pBdr>
        <w:spacing w:after="160" w:before="1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Policy Reference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BS-POL-FS-003</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Version</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1.0</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Author</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 Issued</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Approved By</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 [Insert Job Title]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Review Date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 – 12 months]</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Practice Name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Practice Name]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Confidentiality</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0B1D3A"/>
                <w:sz w:val="19"/>
                <w:szCs w:val="19"/>
              </w:rPr>
              <w:t xml:space="preserve">Internal Use Only</w:t>
            </w:r>
          </w:p>
        </w:tc>
      </w:tr>
    </w:tbl>
    <w:p>
      <w:pPr>
        <w:spacing w:before="200"/>
      </w:pPr>
    </w:p>
    <w:p>
      <w:pPr>
        <w:spacing w:after="120" w:before="200"/>
      </w:pPr>
      <w:r>
        <w:rPr>
          <w:rFonts w:ascii="Arial" w:cs="Arial" w:eastAsia="Arial" w:hAnsi="Arial"/>
          <w:b/>
          <w:bCs/>
          <w:color w:val="0B1D3A"/>
          <w:sz w:val="26"/>
          <w:szCs w:val="26"/>
        </w:rPr>
        <w:t xml:space="preserve">CONTENTS</w:t>
      </w:r>
    </w:p>
    <w:p>
      <w:pPr>
        <w:pBdr>
          <w:bottom w:val="single" w:color="D4AF37" w:sz="3" w:space="1"/>
        </w:pBdr>
        <w:spacing w:after="80" w:before="8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0B1D3A"/>
          <w:sz w:val="28"/>
          <w:szCs w:val="28"/>
        </w:rPr>
        <w:t xml:space="preserve">1. Policy Statement</w:t>
      </w:r>
    </w:p>
    <w:p>
      <w:pPr>
        <w:spacing w:after="80" w:before="60"/>
        <w:jc w:val="both"/>
      </w:pPr>
      <w:r>
        <w:rPr>
          <w:rFonts w:ascii="Arial" w:cs="Arial" w:eastAsia="Arial" w:hAnsi="Arial"/>
          <w:color w:val="2D2D2D"/>
          <w:sz w:val="21"/>
          <w:szCs w:val="21"/>
        </w:rPr>
        <w:t xml:space="preserve">The practice recognises its duties as the ‘Responsible Person’ under the Regulatory Reform (Fire Safety) Order 2005 and is committed to minimising the risk of fire, protecting all persons on the premises from fire, and ensuring safe and effective evacuation in the event of a fire emergency. Fire safety is a non-negotiable priority, and the practice will ensure that fire prevention, detection, and response arrangements are maintained to the highest practicable standard.</w:t>
      </w:r>
    </w:p>
    <w:p>
      <w:pPr>
        <w:pStyle w:val="Heading1"/>
        <w:spacing w:after="120" w:before="360"/>
      </w:pPr>
      <w:r>
        <w:rPr>
          <w:rFonts w:ascii="Arial" w:cs="Arial" w:eastAsia="Arial" w:hAnsi="Arial"/>
          <w:b/>
          <w:bCs/>
          <w:color w:val="0B1D3A"/>
          <w:sz w:val="28"/>
          <w:szCs w:val="28"/>
        </w:rPr>
        <w:t xml:space="preserve">2. Purpose</w:t>
      </w:r>
    </w:p>
    <w:p>
      <w:pPr>
        <w:spacing w:after="80" w:before="60"/>
        <w:jc w:val="both"/>
      </w:pPr>
      <w:r>
        <w:rPr>
          <w:rFonts w:ascii="Arial" w:cs="Arial" w:eastAsia="Arial" w:hAnsi="Arial"/>
          <w:color w:val="2D2D2D"/>
          <w:sz w:val="21"/>
          <w:szCs w:val="21"/>
        </w:rPr>
        <w:t xml:space="preserve">This policy establishes the practice’s fire safety management arrangements, defines roles and responsibilities for fire safety, and sets out the procedural framework for fire prevention, emergency response, and evacuation.</w:t>
      </w:r>
    </w:p>
    <w:p>
      <w:pPr>
        <w:spacing w:after="80" w:before="60"/>
        <w:jc w:val="both"/>
      </w:pPr>
      <w:r>
        <w:rPr>
          <w:rFonts w:ascii="Arial" w:cs="Arial" w:eastAsia="Arial" w:hAnsi="Arial"/>
          <w:color w:val="2D2D2D"/>
          <w:sz w:val="21"/>
          <w:szCs w:val="21"/>
        </w:rPr>
        <w:t xml:space="preserve">The policy ensures compliance with the Regulatory Reform (Fire Safety) Order 2005 and supports the practice in meeting CQC Regulation 12 (Safe Care and Treatment) and Regulation 15 (Premises and Equipment).</w:t>
      </w:r>
    </w:p>
    <w:p>
      <w:pPr>
        <w:pStyle w:val="Heading1"/>
        <w:spacing w:after="120" w:before="360"/>
      </w:pPr>
      <w:r>
        <w:rPr>
          <w:rFonts w:ascii="Arial" w:cs="Arial" w:eastAsia="Arial" w:hAnsi="Arial"/>
          <w:b/>
          <w:bCs/>
          <w:color w:val="0B1D3A"/>
          <w:sz w:val="28"/>
          <w:szCs w:val="28"/>
        </w:rPr>
        <w:t xml:space="preserve">3. Scope</w:t>
      </w:r>
    </w:p>
    <w:p>
      <w:pPr>
        <w:spacing w:after="80" w:before="60"/>
        <w:jc w:val="both"/>
      </w:pPr>
      <w:r>
        <w:rPr>
          <w:rFonts w:ascii="Arial" w:cs="Arial" w:eastAsia="Arial" w:hAnsi="Arial"/>
          <w:color w:val="2D2D2D"/>
          <w:sz w:val="21"/>
          <w:szCs w:val="21"/>
        </w:rPr>
        <w:t xml:space="preserve">This policy applies to:</w:t>
      </w:r>
    </w:p>
    <w:p>
      <w:pPr>
        <w:pStyle w:val="ListParagraph"/>
        <w:numPr>
          <w:ilvl w:val="0"/>
          <w:numId w:val="2"/>
        </w:numPr>
        <w:spacing w:after="40" w:before="40"/>
      </w:pPr>
      <w:r>
        <w:rPr>
          <w:rFonts w:ascii="Arial" w:cs="Arial" w:eastAsia="Arial" w:hAnsi="Arial"/>
          <w:color w:val="2D2D2D"/>
          <w:sz w:val="20"/>
          <w:szCs w:val="20"/>
        </w:rPr>
        <w:t xml:space="preserve">All practice premises, including reception, waiting areas, consulting rooms, treatment rooms, offices, store rooms, kitchen/staff room, plant rooms, corridors, and external areas</w:t>
      </w:r>
    </w:p>
    <w:p>
      <w:pPr>
        <w:pStyle w:val="ListParagraph"/>
        <w:numPr>
          <w:ilvl w:val="0"/>
          <w:numId w:val="2"/>
        </w:numPr>
        <w:spacing w:after="40" w:before="40"/>
      </w:pPr>
      <w:r>
        <w:rPr>
          <w:rFonts w:ascii="Arial" w:cs="Arial" w:eastAsia="Arial" w:hAnsi="Arial"/>
          <w:color w:val="2D2D2D"/>
          <w:sz w:val="20"/>
          <w:szCs w:val="20"/>
        </w:rPr>
        <w:t xml:space="preserve">All staff, patients, visitors, carers, contractors, and any persons on or in the vicinity of the premises</w:t>
      </w:r>
    </w:p>
    <w:p>
      <w:pPr>
        <w:pStyle w:val="ListParagraph"/>
        <w:numPr>
          <w:ilvl w:val="0"/>
          <w:numId w:val="2"/>
        </w:numPr>
        <w:spacing w:after="40" w:before="40"/>
      </w:pPr>
      <w:r>
        <w:rPr>
          <w:rFonts w:ascii="Arial" w:cs="Arial" w:eastAsia="Arial" w:hAnsi="Arial"/>
          <w:color w:val="2D2D2D"/>
          <w:sz w:val="20"/>
          <w:szCs w:val="20"/>
        </w:rPr>
        <w:t xml:space="preserve">All activities that may give rise to a fire risk, including clinical procedures, electrical equipment use, cooking, storage, maintenance, and contractor works</w:t>
      </w:r>
    </w:p>
    <w:p>
      <w:pPr>
        <w:pStyle w:val="Heading1"/>
        <w:spacing w:after="120" w:before="360"/>
      </w:pPr>
      <w:r>
        <w:rPr>
          <w:rFonts w:ascii="Arial" w:cs="Arial" w:eastAsia="Arial" w:hAnsi="Arial"/>
          <w:b/>
          <w:bCs/>
          <w:color w:val="0B1D3A"/>
          <w:sz w:val="28"/>
          <w:szCs w:val="28"/>
        </w:rPr>
        <w:t xml:space="preserve">4. Definitions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Term</w:t>
            </w:r>
          </w:p>
        </w:tc>
        <w:tc>
          <w:tcPr>
            <w:tcW w:type="dxa" w:w="65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Definition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Responsible Person</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The person or persons who have control of the premises and are responsible for fire safety under Article 3 of the Regulatory Reform (Fire Safety) Order 2005. In a GP practice, this is typically the Senior Partner or Practice Manager.</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Fire Risk Assessment</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 structured assessment of the fire hazards and risks to persons in or around the premises, as required by Article 9 of the Fire Safety Order.</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PEEP</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Personal Emergency Evacuation Plan – an individualised plan for evacuating a person who may need additional assistance (e.g. due to disability, mobility impairment, or medical condition).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Means of Escape</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Structural routes (corridors, stairways, exits) and procedural arrangements that enable safe evacuation from the premises in the event of fire.</w:t>
            </w:r>
          </w:p>
        </w:tc>
      </w:tr>
    </w:tbl>
    <w:p>
      <w:pPr>
        <w:pStyle w:val="Heading1"/>
        <w:spacing w:after="120" w:before="360"/>
      </w:pPr>
      <w:r>
        <w:rPr>
          <w:rFonts w:ascii="Arial" w:cs="Arial" w:eastAsia="Arial" w:hAnsi="Arial"/>
          <w:b/>
          <w:bCs/>
          <w:color w:val="0B1D3A"/>
          <w:sz w:val="28"/>
          <w:szCs w:val="28"/>
        </w:rPr>
        <w:t xml:space="preserve">5. Legal and Regulatory Framework</w:t>
      </w:r>
    </w:p>
    <w:p>
      <w:pPr>
        <w:spacing w:after="80" w:before="60"/>
        <w:jc w:val="both"/>
      </w:pPr>
      <w:r>
        <w:rPr>
          <w:rFonts w:ascii="Arial" w:cs="Arial" w:eastAsia="Arial" w:hAnsi="Arial"/>
          <w:color w:val="2D2D2D"/>
          <w:sz w:val="21"/>
          <w:szCs w:val="21"/>
        </w:rPr>
        <w:t xml:space="preserve">This policy is underpinned by the following legislation, regulations, and authoritative guidance:</w:t>
      </w:r>
    </w:p>
    <w:p>
      <w:pPr>
        <w:pStyle w:val="ListParagraph"/>
        <w:numPr>
          <w:ilvl w:val="0"/>
          <w:numId w:val="2"/>
        </w:numPr>
        <w:spacing w:after="40" w:before="40"/>
      </w:pPr>
      <w:r>
        <w:rPr>
          <w:rFonts w:ascii="Arial" w:cs="Arial" w:eastAsia="Arial" w:hAnsi="Arial"/>
          <w:color w:val="2D2D2D"/>
          <w:sz w:val="20"/>
          <w:szCs w:val="20"/>
        </w:rPr>
        <w:t xml:space="preserve">Regulatory Reform (Fire Safety) Order 2005 (Articles 8–22)</w:t>
      </w:r>
    </w:p>
    <w:p>
      <w:pPr>
        <w:pStyle w:val="ListParagraph"/>
        <w:numPr>
          <w:ilvl w:val="0"/>
          <w:numId w:val="2"/>
        </w:numPr>
        <w:spacing w:after="40" w:before="40"/>
      </w:pPr>
      <w:r>
        <w:rPr>
          <w:rFonts w:ascii="Arial" w:cs="Arial" w:eastAsia="Arial" w:hAnsi="Arial"/>
          <w:color w:val="2D2D2D"/>
          <w:sz w:val="20"/>
          <w:szCs w:val="20"/>
        </w:rPr>
        <w:t xml:space="preserve">Health and Safety at Work etc. Act 1974 (Section 2)</w:t>
      </w:r>
    </w:p>
    <w:p>
      <w:pPr>
        <w:pStyle w:val="ListParagraph"/>
        <w:numPr>
          <w:ilvl w:val="0"/>
          <w:numId w:val="2"/>
        </w:numPr>
        <w:spacing w:after="40" w:before="40"/>
      </w:pPr>
      <w:r>
        <w:rPr>
          <w:rFonts w:ascii="Arial" w:cs="Arial" w:eastAsia="Arial" w:hAnsi="Arial"/>
          <w:color w:val="2D2D2D"/>
          <w:sz w:val="20"/>
          <w:szCs w:val="20"/>
        </w:rPr>
        <w:t xml:space="preserve">The Management of Health and Safety at Work Regulations 1999</w:t>
      </w:r>
    </w:p>
    <w:p>
      <w:pPr>
        <w:pStyle w:val="ListParagraph"/>
        <w:numPr>
          <w:ilvl w:val="0"/>
          <w:numId w:val="2"/>
        </w:numPr>
        <w:spacing w:after="40" w:before="40"/>
      </w:pPr>
      <w:r>
        <w:rPr>
          <w:rFonts w:ascii="Arial" w:cs="Arial" w:eastAsia="Arial" w:hAnsi="Arial"/>
          <w:color w:val="2D2D2D"/>
          <w:sz w:val="20"/>
          <w:szCs w:val="20"/>
        </w:rPr>
        <w:t xml:space="preserve">The Building Regulations 2010 (Approved Document B – Fire Safety)</w:t>
      </w:r>
    </w:p>
    <w:p>
      <w:pPr>
        <w:pStyle w:val="ListParagraph"/>
        <w:numPr>
          <w:ilvl w:val="0"/>
          <w:numId w:val="2"/>
        </w:numPr>
        <w:spacing w:after="40" w:before="40"/>
      </w:pPr>
      <w:r>
        <w:rPr>
          <w:rFonts w:ascii="Arial" w:cs="Arial" w:eastAsia="Arial" w:hAnsi="Arial"/>
          <w:color w:val="2D2D2D"/>
          <w:sz w:val="20"/>
          <w:szCs w:val="20"/>
        </w:rPr>
        <w:t xml:space="preserve">BS 5839-1:2017+A2:2019 – Fire Detection and Fire Alarm Systems for Buildings (Code of Practice for Design, Installation, Commissioning and Maintenance)</w:t>
      </w:r>
    </w:p>
    <w:p>
      <w:pPr>
        <w:pStyle w:val="ListParagraph"/>
        <w:numPr>
          <w:ilvl w:val="0"/>
          <w:numId w:val="2"/>
        </w:numPr>
        <w:spacing w:after="40" w:before="40"/>
      </w:pPr>
      <w:r>
        <w:rPr>
          <w:rFonts w:ascii="Arial" w:cs="Arial" w:eastAsia="Arial" w:hAnsi="Arial"/>
          <w:color w:val="2D2D2D"/>
          <w:sz w:val="20"/>
          <w:szCs w:val="20"/>
        </w:rPr>
        <w:t xml:space="preserve">BS 5266-1:2016 – Emergency Lighting (Code of Practice for the Emergency Lighting of Premises)</w:t>
      </w:r>
    </w:p>
    <w:p>
      <w:pPr>
        <w:pStyle w:val="ListParagraph"/>
        <w:numPr>
          <w:ilvl w:val="0"/>
          <w:numId w:val="2"/>
        </w:numPr>
        <w:spacing w:after="40" w:before="40"/>
      </w:pPr>
      <w:r>
        <w:rPr>
          <w:rFonts w:ascii="Arial" w:cs="Arial" w:eastAsia="Arial" w:hAnsi="Arial"/>
          <w:color w:val="2D2D2D"/>
          <w:sz w:val="20"/>
          <w:szCs w:val="20"/>
        </w:rPr>
        <w:t xml:space="preserve">BS 5306-3:2017 – Fire Extinguishing Installations and Equipment on Premises (Commissioning and Maintenance of Portable Fire Extinguishers)</w:t>
      </w:r>
    </w:p>
    <w:p>
      <w:pPr>
        <w:pStyle w:val="ListParagraph"/>
        <w:numPr>
          <w:ilvl w:val="0"/>
          <w:numId w:val="2"/>
        </w:numPr>
        <w:spacing w:after="40" w:before="40"/>
      </w:pPr>
      <w:r>
        <w:rPr>
          <w:rFonts w:ascii="Arial" w:cs="Arial" w:eastAsia="Arial" w:hAnsi="Arial"/>
          <w:color w:val="2D2D2D"/>
          <w:sz w:val="20"/>
          <w:szCs w:val="20"/>
        </w:rPr>
        <w:t xml:space="preserve">Health Technical Memorandum 05-01: Managing Healthcare Fire Safety (Department of Health 2013)</w:t>
      </w:r>
    </w:p>
    <w:p>
      <w:pPr>
        <w:pStyle w:val="ListParagraph"/>
        <w:numPr>
          <w:ilvl w:val="0"/>
          <w:numId w:val="2"/>
        </w:numPr>
        <w:spacing w:after="40" w:before="40"/>
      </w:pPr>
      <w:r>
        <w:rPr>
          <w:rFonts w:ascii="Arial" w:cs="Arial" w:eastAsia="Arial" w:hAnsi="Arial"/>
          <w:color w:val="2D2D2D"/>
          <w:sz w:val="20"/>
          <w:szCs w:val="20"/>
        </w:rPr>
        <w:t xml:space="preserve">The Equality Act 2010 (duty to make reasonable adjustments for evacuation of disabled persons)</w:t>
      </w:r>
    </w:p>
    <w:p>
      <w:pPr>
        <w:pStyle w:val="ListParagraph"/>
        <w:numPr>
          <w:ilvl w:val="0"/>
          <w:numId w:val="2"/>
        </w:numPr>
        <w:spacing w:after="40" w:before="40"/>
      </w:pPr>
      <w:r>
        <w:rPr>
          <w:rFonts w:ascii="Arial" w:cs="Arial" w:eastAsia="Arial" w:hAnsi="Arial"/>
          <w:color w:val="2D2D2D"/>
          <w:sz w:val="20"/>
          <w:szCs w:val="20"/>
        </w:rPr>
        <w:t xml:space="preserve">CQC Regulation 12 (Safe Care and Treatment) and Regulation 15 (Premises and Equipment)</w:t>
      </w:r>
    </w:p>
    <w:p>
      <w:pPr>
        <w:pStyle w:val="Heading1"/>
        <w:spacing w:after="120" w:before="360"/>
      </w:pPr>
      <w:r>
        <w:rPr>
          <w:rFonts w:ascii="Arial" w:cs="Arial" w:eastAsia="Arial" w:hAnsi="Arial"/>
          <w:b/>
          <w:bCs/>
          <w:color w:val="0B1D3A"/>
          <w:sz w:val="28"/>
          <w:szCs w:val="28"/>
        </w:rPr>
        <w:t xml:space="preserve">6. Roles and Responsibilities</w:t>
      </w:r>
    </w:p>
    <w:p>
      <w:pPr>
        <w:spacing w:after="80" w:before="60"/>
        <w:jc w:val="both"/>
      </w:pPr>
      <w:r>
        <w:rPr>
          <w:rFonts w:ascii="Arial" w:cs="Arial" w:eastAsia="Arial" w:hAnsi="Arial"/>
          <w:color w:val="2D2D2D"/>
          <w:sz w:val="21"/>
          <w:szCs w:val="21"/>
        </w:rPr>
        <w:t xml:space="preserve">The following roles and responsibilities are defined to ensure effective implementation and compliance with this policy: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6906"/>
      </w:tblGrid>
      <w:tr>
        <w:tc>
          <w:tcPr>
            <w:tcW w:type="dxa" w:w="26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Role</w:t>
            </w:r>
          </w:p>
        </w:tc>
        <w:tc>
          <w:tcPr>
            <w:tcW w:type="dxa" w:w="69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Responsibilities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Responsible Person (Senior Partner / Practice Manager)</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Ensuring compliance with the Fire Safety Order; commissioning and acting on the Fire Risk Assessment; appointing fire wardens; ensuring adequate fire safety training; maintaining fire safety records; engaging competent fire safety advice.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Fire Safety Manager (Practice Manager)</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Day-to-day management of fire safety; coordinating fire drills; managing fire safety maintenance contracts; maintaining fire log book; reviewing fire risk assessment actions; ensuring fire doors, escape routes, and signage are maintained.</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Fire Wardens (Appointed Staff)</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Leading evacuation of designated zones; sweeping assigned areas; accounting for persons at assembly point; reporting to Fire Safety Manager; conducting weekly fire alarm tests; checking escape routes.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All Staff</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Knowing the fire evacuation procedure and nearest escape routes; knowing the location of fire alarm call points and extinguishers; reporting fire hazards; attending fire safety training; never wedging open fire doors.</w:t>
            </w:r>
          </w:p>
        </w:tc>
      </w:tr>
    </w:tbl>
    <w:p>
      <w:pPr>
        <w:pStyle w:val="Heading1"/>
        <w:spacing w:after="120" w:before="360"/>
      </w:pPr>
      <w:r>
        <w:rPr>
          <w:rFonts w:ascii="Arial" w:cs="Arial" w:eastAsia="Arial" w:hAnsi="Arial"/>
          <w:b/>
          <w:bCs/>
          <w:color w:val="0B1D3A"/>
          <w:sz w:val="28"/>
          <w:szCs w:val="28"/>
        </w:rPr>
        <w:t xml:space="preserve">7. Policy Detail</w:t>
      </w:r>
    </w:p>
    <w:p>
      <w:pPr>
        <w:pStyle w:val="Heading2"/>
        <w:spacing w:after="80" w:before="240"/>
      </w:pPr>
      <w:r>
        <w:rPr>
          <w:rFonts w:ascii="Arial" w:cs="Arial" w:eastAsia="Arial" w:hAnsi="Arial"/>
          <w:b/>
          <w:bCs/>
          <w:color w:val="0B1D3A"/>
          <w:sz w:val="24"/>
          <w:szCs w:val="24"/>
        </w:rPr>
        <w:t xml:space="preserve">7.1 Fire Risk Assessment</w:t>
      </w:r>
    </w:p>
    <w:p>
      <w:pPr>
        <w:spacing w:after="80" w:before="60"/>
        <w:jc w:val="both"/>
      </w:pPr>
      <w:r>
        <w:rPr>
          <w:rFonts w:ascii="Arial" w:cs="Arial" w:eastAsia="Arial" w:hAnsi="Arial"/>
          <w:color w:val="2D2D2D"/>
          <w:sz w:val="21"/>
          <w:szCs w:val="21"/>
        </w:rPr>
        <w:t xml:space="preserve">A fire risk assessment compliant with Article 9 of the Regulatory Reform (Fire Safety) Order 2005 shall be conducted by a competent person and reviewed at least annually, or sooner following any of the following triggers: significant building alterations; change of use of any area; following a fire or near-miss; introduction of new equipment or processes; or changes to building occupancy.</w:t>
      </w:r>
    </w:p>
    <w:p>
      <w:pPr>
        <w:spacing w:after="80" w:before="60"/>
        <w:jc w:val="both"/>
      </w:pPr>
      <w:r>
        <w:rPr>
          <w:rFonts w:ascii="Arial" w:cs="Arial" w:eastAsia="Arial" w:hAnsi="Arial"/>
          <w:color w:val="2D2D2D"/>
          <w:sz w:val="21"/>
          <w:szCs w:val="21"/>
        </w:rPr>
        <w:t xml:space="preserve">The fire risk assessment shall be recorded, communicated to all staff, and maintained as part of the practice’s fire safety documentation. The Responsible Person shall ensure that all significant findings are actioned within the timescales specified in the assessment.</w:t>
      </w:r>
    </w:p>
    <w:p>
      <w:pPr>
        <w:spacing w:after="80" w:before="60"/>
        <w:jc w:val="both"/>
      </w:pPr>
      <w:r>
        <w:rPr>
          <w:rFonts w:ascii="Arial" w:cs="Arial" w:eastAsia="Arial" w:hAnsi="Arial"/>
          <w:color w:val="2D2D2D"/>
          <w:sz w:val="21"/>
          <w:szCs w:val="21"/>
        </w:rPr>
        <w:t xml:space="preserve">A copy of the current fire risk assessment shall be available for inspection by the fire and rescue authority, the CQC, and the practice’s commissioners.</w:t>
      </w:r>
    </w:p>
    <w:p>
      <w:pPr>
        <w:pStyle w:val="Heading2"/>
        <w:spacing w:after="80" w:before="240"/>
      </w:pPr>
      <w:r>
        <w:rPr>
          <w:rFonts w:ascii="Arial" w:cs="Arial" w:eastAsia="Arial" w:hAnsi="Arial"/>
          <w:b/>
          <w:bCs/>
          <w:color w:val="0B1D3A"/>
          <w:sz w:val="24"/>
          <w:szCs w:val="24"/>
        </w:rPr>
        <w:t xml:space="preserve">7.2 Fire Prevention</w:t>
      </w:r>
    </w:p>
    <w:p>
      <w:pPr>
        <w:spacing w:after="80" w:before="60"/>
        <w:jc w:val="both"/>
      </w:pPr>
      <w:r>
        <w:rPr>
          <w:rFonts w:ascii="Arial" w:cs="Arial" w:eastAsia="Arial" w:hAnsi="Arial"/>
          <w:color w:val="2D2D2D"/>
          <w:sz w:val="21"/>
          <w:szCs w:val="21"/>
        </w:rPr>
        <w:t xml:space="preserve">The practice shall implement the following fire prevention measures as a minimum:</w:t>
      </w:r>
    </w:p>
    <w:p>
      <w:pPr>
        <w:pStyle w:val="ListParagraph"/>
        <w:numPr>
          <w:ilvl w:val="0"/>
          <w:numId w:val="2"/>
        </w:numPr>
        <w:spacing w:after="40" w:before="40"/>
      </w:pPr>
      <w:r>
        <w:rPr>
          <w:rFonts w:ascii="Arial" w:cs="Arial" w:eastAsia="Arial" w:hAnsi="Arial"/>
          <w:color w:val="2D2D2D"/>
          <w:sz w:val="20"/>
          <w:szCs w:val="20"/>
        </w:rPr>
        <w:t xml:space="preserve">Housekeeping: combustible materials (paper, cardboard, clinical supplies) shall not be accumulated in escape routes, corridors, or plant rooms. Storage rooms shall be kept locked and tidy.</w:t>
      </w:r>
    </w:p>
    <w:p>
      <w:pPr>
        <w:pStyle w:val="ListParagraph"/>
        <w:numPr>
          <w:ilvl w:val="0"/>
          <w:numId w:val="2"/>
        </w:numPr>
        <w:spacing w:after="40" w:before="40"/>
      </w:pPr>
      <w:r>
        <w:rPr>
          <w:rFonts w:ascii="Arial" w:cs="Arial" w:eastAsia="Arial" w:hAnsi="Arial"/>
          <w:color w:val="2D2D2D"/>
          <w:sz w:val="20"/>
          <w:szCs w:val="20"/>
        </w:rPr>
        <w:t xml:space="preserve">Electrical safety: all portable electrical appliances shall be PAT tested at risk-assessed intervals. No multi-plug adaptors shall be used. Defective equipment shall be withdrawn from service immediately.</w:t>
      </w:r>
    </w:p>
    <w:p>
      <w:pPr>
        <w:pStyle w:val="ListParagraph"/>
        <w:numPr>
          <w:ilvl w:val="0"/>
          <w:numId w:val="2"/>
        </w:numPr>
        <w:spacing w:after="40" w:before="40"/>
      </w:pPr>
      <w:r>
        <w:rPr>
          <w:rFonts w:ascii="Arial" w:cs="Arial" w:eastAsia="Arial" w:hAnsi="Arial"/>
          <w:color w:val="2D2D2D"/>
          <w:sz w:val="20"/>
          <w:szCs w:val="20"/>
        </w:rPr>
        <w:t xml:space="preserve">Cooking: any kitchen or staff room cooking appliances shall never be left unattended while in use.</w:t>
      </w:r>
    </w:p>
    <w:p>
      <w:pPr>
        <w:pStyle w:val="ListParagraph"/>
        <w:numPr>
          <w:ilvl w:val="0"/>
          <w:numId w:val="2"/>
        </w:numPr>
        <w:spacing w:after="40" w:before="40"/>
      </w:pPr>
      <w:r>
        <w:rPr>
          <w:rFonts w:ascii="Arial" w:cs="Arial" w:eastAsia="Arial" w:hAnsi="Arial"/>
          <w:color w:val="2D2D2D"/>
          <w:sz w:val="20"/>
          <w:szCs w:val="20"/>
        </w:rPr>
        <w:t xml:space="preserve">Smoking: the practice operates a strict no-smoking policy on all premises, including electronic cigarettes.</w:t>
      </w:r>
    </w:p>
    <w:p>
      <w:pPr>
        <w:pStyle w:val="ListParagraph"/>
        <w:numPr>
          <w:ilvl w:val="0"/>
          <w:numId w:val="2"/>
        </w:numPr>
        <w:spacing w:after="40" w:before="40"/>
      </w:pPr>
      <w:r>
        <w:rPr>
          <w:rFonts w:ascii="Arial" w:cs="Arial" w:eastAsia="Arial" w:hAnsi="Arial"/>
          <w:color w:val="2D2D2D"/>
          <w:sz w:val="20"/>
          <w:szCs w:val="20"/>
        </w:rPr>
        <w:t xml:space="preserve">Arson prevention: external waste bins shall be secured and positioned away from the building. External lighting and CCTV shall be maintained to deter arson.</w:t>
      </w:r>
    </w:p>
    <w:p>
      <w:pPr>
        <w:pStyle w:val="ListParagraph"/>
        <w:numPr>
          <w:ilvl w:val="0"/>
          <w:numId w:val="2"/>
        </w:numPr>
        <w:spacing w:after="40" w:before="40"/>
      </w:pPr>
      <w:r>
        <w:rPr>
          <w:rFonts w:ascii="Arial" w:cs="Arial" w:eastAsia="Arial" w:hAnsi="Arial"/>
          <w:color w:val="2D2D2D"/>
          <w:sz w:val="20"/>
          <w:szCs w:val="20"/>
        </w:rPr>
        <w:t xml:space="preserve">Contractor controls: hot works (welding, cutting, soldering) shall only be conducted under a formal permit-to-work system, including fire watch for a minimum of 60 minutes after completion.</w:t>
      </w:r>
    </w:p>
    <w:p>
      <w:pPr>
        <w:pStyle w:val="Heading2"/>
        <w:spacing w:after="80" w:before="240"/>
      </w:pPr>
      <w:r>
        <w:rPr>
          <w:rFonts w:ascii="Arial" w:cs="Arial" w:eastAsia="Arial" w:hAnsi="Arial"/>
          <w:b/>
          <w:bCs/>
          <w:color w:val="0B1D3A"/>
          <w:sz w:val="24"/>
          <w:szCs w:val="24"/>
        </w:rPr>
        <w:t xml:space="preserve">7.3 Fire Detection and Warning</w:t>
      </w:r>
    </w:p>
    <w:p>
      <w:pPr>
        <w:spacing w:after="80" w:before="60"/>
        <w:jc w:val="both"/>
      </w:pPr>
      <w:r>
        <w:rPr>
          <w:rFonts w:ascii="Arial" w:cs="Arial" w:eastAsia="Arial" w:hAnsi="Arial"/>
          <w:color w:val="2D2D2D"/>
          <w:sz w:val="21"/>
          <w:szCs w:val="21"/>
        </w:rPr>
        <w:t xml:space="preserve">The practice shall maintain an automatic fire detection and warning system to at least Category L2 standard (BS 5839-1), providing coverage to all escape routes and areas of high fire risk. The system shall include smoke detectors, heat detectors (in kitchens and plant rooms), manual call points at all exits, and audible sounders in all areas.</w:t>
      </w:r>
    </w:p>
    <w:p>
      <w:pPr>
        <w:spacing w:after="80" w:before="60"/>
        <w:jc w:val="both"/>
      </w:pPr>
      <w:r>
        <w:rPr>
          <w:rFonts w:ascii="Arial" w:cs="Arial" w:eastAsia="Arial" w:hAnsi="Arial"/>
          <w:color w:val="2D2D2D"/>
          <w:sz w:val="21"/>
          <w:szCs w:val="21"/>
        </w:rPr>
        <w:t xml:space="preserve">The fire alarm system shall be tested weekly by activation of a different manual call point on a rotational basis, and a record maintained in the fire log book. The system shall be inspected and serviced by a competent engineer at six-monthly intervals, with an annual certificate of compliance issued.</w:t>
      </w:r>
    </w:p>
    <w:p>
      <w:pPr>
        <w:pStyle w:val="Heading2"/>
        <w:spacing w:after="80" w:before="240"/>
      </w:pPr>
      <w:r>
        <w:rPr>
          <w:rFonts w:ascii="Arial" w:cs="Arial" w:eastAsia="Arial" w:hAnsi="Arial"/>
          <w:b/>
          <w:bCs/>
          <w:color w:val="0B1D3A"/>
          <w:sz w:val="24"/>
          <w:szCs w:val="24"/>
        </w:rPr>
        <w:t xml:space="preserve">7.4 Means of Escape and Signage</w:t>
      </w:r>
    </w:p>
    <w:p>
      <w:pPr>
        <w:spacing w:after="80" w:before="60"/>
        <w:jc w:val="both"/>
      </w:pPr>
      <w:r>
        <w:rPr>
          <w:rFonts w:ascii="Arial" w:cs="Arial" w:eastAsia="Arial" w:hAnsi="Arial"/>
          <w:color w:val="2D2D2D"/>
          <w:sz w:val="21"/>
          <w:szCs w:val="21"/>
        </w:rPr>
        <w:t xml:space="preserve">All escape routes shall be maintained clear and unobstructed at all times the premises are occupied. Fire doors shall not be propped or wedged open unless held by approved electromagnetic devices linked to the fire alarm system.</w:t>
      </w:r>
    </w:p>
    <w:p>
      <w:pPr>
        <w:spacing w:after="80" w:before="60"/>
        <w:jc w:val="both"/>
      </w:pPr>
      <w:r>
        <w:rPr>
          <w:rFonts w:ascii="Arial" w:cs="Arial" w:eastAsia="Arial" w:hAnsi="Arial"/>
          <w:color w:val="2D2D2D"/>
          <w:sz w:val="21"/>
          <w:szCs w:val="21"/>
        </w:rPr>
        <w:t xml:space="preserve">Emergency exit signage shall comply with the Health and Safety (Safety Signs and Signals) Regulations 1996. Photoluminescent or internally illuminated signs shall be provided above all fire exits. Emergency lighting shall be installed in all escape routes and tested monthly (function test) and annually (full duration test) in accordance with BS 5266-1.</w:t>
      </w:r>
    </w:p>
    <w:p>
      <w:pPr>
        <w:spacing w:after="80" w:before="60"/>
        <w:jc w:val="both"/>
      </w:pPr>
      <w:r>
        <w:rPr>
          <w:rFonts w:ascii="Arial" w:cs="Arial" w:eastAsia="Arial" w:hAnsi="Arial"/>
          <w:color w:val="2D2D2D"/>
          <w:sz w:val="21"/>
          <w:szCs w:val="21"/>
        </w:rPr>
        <w:t xml:space="preserve">Fire action notices shall be displayed at every manual call point, at reception, in all consulting rooms, and in the staff room.</w:t>
      </w:r>
    </w:p>
    <w:p>
      <w:pPr>
        <w:pStyle w:val="Heading2"/>
        <w:spacing w:after="80" w:before="240"/>
      </w:pPr>
      <w:r>
        <w:rPr>
          <w:rFonts w:ascii="Arial" w:cs="Arial" w:eastAsia="Arial" w:hAnsi="Arial"/>
          <w:b/>
          <w:bCs/>
          <w:color w:val="0B1D3A"/>
          <w:sz w:val="24"/>
          <w:szCs w:val="24"/>
        </w:rPr>
        <w:t xml:space="preserve">7.5 Evacuation Procedure</w:t>
      </w:r>
    </w:p>
    <w:p>
      <w:pPr>
        <w:spacing w:after="80" w:before="60"/>
        <w:jc w:val="both"/>
      </w:pPr>
      <w:r>
        <w:rPr>
          <w:rFonts w:ascii="Arial" w:cs="Arial" w:eastAsia="Arial" w:hAnsi="Arial"/>
          <w:color w:val="2D2D2D"/>
          <w:sz w:val="21"/>
          <w:szCs w:val="21"/>
        </w:rPr>
        <w:t xml:space="preserve">On hearing the fire alarm or discovering a fire, all persons shall evacuate the building immediately via the nearest safe exit and assemble at the designated assembly point: [Insert Location of Assembly Point].</w:t>
      </w:r>
    </w:p>
    <w:p>
      <w:pPr>
        <w:spacing w:after="80" w:before="60"/>
        <w:jc w:val="both"/>
      </w:pPr>
      <w:r>
        <w:rPr>
          <w:rFonts w:ascii="Arial" w:cs="Arial" w:eastAsia="Arial" w:hAnsi="Arial"/>
          <w:b/>
          <w:bCs/>
          <w:color w:val="2D2D2D"/>
          <w:sz w:val="21"/>
          <w:szCs w:val="21"/>
        </w:rPr>
        <w:t xml:space="preserve">The evacuation procedure is:</w:t>
      </w:r>
    </w:p>
    <w:p>
      <w:pPr>
        <w:pStyle w:val="ListParagraph"/>
        <w:numPr>
          <w:ilvl w:val="0"/>
          <w:numId w:val="3"/>
        </w:numPr>
        <w:spacing w:after="40" w:before="40"/>
      </w:pPr>
      <w:r>
        <w:rPr>
          <w:rFonts w:ascii="Arial" w:cs="Arial" w:eastAsia="Arial" w:hAnsi="Arial"/>
          <w:color w:val="2D2D2D"/>
          <w:sz w:val="20"/>
          <w:szCs w:val="20"/>
        </w:rPr>
        <w:t xml:space="preserve">On discovering a fire: activate the nearest fire alarm call point; do not attempt to fight the fire unless it is small and you have been trained.</w:t>
      </w:r>
    </w:p>
    <w:p>
      <w:pPr>
        <w:pStyle w:val="ListParagraph"/>
        <w:numPr>
          <w:ilvl w:val="0"/>
          <w:numId w:val="3"/>
        </w:numPr>
        <w:spacing w:after="40" w:before="40"/>
      </w:pPr>
      <w:r>
        <w:rPr>
          <w:rFonts w:ascii="Arial" w:cs="Arial" w:eastAsia="Arial" w:hAnsi="Arial"/>
          <w:color w:val="2D2D2D"/>
          <w:sz w:val="20"/>
          <w:szCs w:val="20"/>
        </w:rPr>
        <w:t xml:space="preserve">On hearing the alarm: leave the building immediately by the nearest safe route; do not stop to collect personal belongings; do not use lifts.</w:t>
      </w:r>
    </w:p>
    <w:p>
      <w:pPr>
        <w:pStyle w:val="ListParagraph"/>
        <w:numPr>
          <w:ilvl w:val="0"/>
          <w:numId w:val="3"/>
        </w:numPr>
        <w:spacing w:after="40" w:before="40"/>
      </w:pPr>
      <w:r>
        <w:rPr>
          <w:rFonts w:ascii="Arial" w:cs="Arial" w:eastAsia="Arial" w:hAnsi="Arial"/>
          <w:color w:val="2D2D2D"/>
          <w:sz w:val="20"/>
          <w:szCs w:val="20"/>
        </w:rPr>
        <w:t xml:space="preserve">Fire wardens: sweep your designated zone, check toilets and treatment rooms, close doors behind you, proceed to assembly point.</w:t>
      </w:r>
    </w:p>
    <w:p>
      <w:pPr>
        <w:pStyle w:val="ListParagraph"/>
        <w:numPr>
          <w:ilvl w:val="0"/>
          <w:numId w:val="3"/>
        </w:numPr>
        <w:spacing w:after="40" w:before="40"/>
      </w:pPr>
      <w:r>
        <w:rPr>
          <w:rFonts w:ascii="Arial" w:cs="Arial" w:eastAsia="Arial" w:hAnsi="Arial"/>
          <w:color w:val="2D2D2D"/>
          <w:sz w:val="20"/>
          <w:szCs w:val="20"/>
        </w:rPr>
        <w:t xml:space="preserve">Reception staff: take the visitor signing-in book and appointment list (if safe to do so); direct patients and visitors to the nearest exit.</w:t>
      </w:r>
    </w:p>
    <w:p>
      <w:pPr>
        <w:pStyle w:val="ListParagraph"/>
        <w:numPr>
          <w:ilvl w:val="0"/>
          <w:numId w:val="3"/>
        </w:numPr>
        <w:spacing w:after="40" w:before="40"/>
      </w:pPr>
      <w:r>
        <w:rPr>
          <w:rFonts w:ascii="Arial" w:cs="Arial" w:eastAsia="Arial" w:hAnsi="Arial"/>
          <w:color w:val="2D2D2D"/>
          <w:sz w:val="20"/>
          <w:szCs w:val="20"/>
        </w:rPr>
        <w:t xml:space="preserve">At the assembly point: fire wardens report to the Fire Safety Manager to confirm all persons are accounted for.</w:t>
      </w:r>
    </w:p>
    <w:p>
      <w:pPr>
        <w:pStyle w:val="ListParagraph"/>
        <w:numPr>
          <w:ilvl w:val="0"/>
          <w:numId w:val="3"/>
        </w:numPr>
        <w:spacing w:after="40" w:before="40"/>
      </w:pPr>
      <w:r>
        <w:rPr>
          <w:rFonts w:ascii="Arial" w:cs="Arial" w:eastAsia="Arial" w:hAnsi="Arial"/>
          <w:color w:val="2D2D2D"/>
          <w:sz w:val="20"/>
          <w:szCs w:val="20"/>
        </w:rPr>
        <w:t xml:space="preserve">The Fire Safety Manager shall liaise with the fire and rescue service on arrival and provide information on building layout, missing persons, and hazardous materials.</w:t>
      </w:r>
    </w:p>
    <w:p>
      <w:pPr>
        <w:pStyle w:val="ListParagraph"/>
        <w:numPr>
          <w:ilvl w:val="0"/>
          <w:numId w:val="3"/>
        </w:numPr>
        <w:spacing w:after="40" w:before="40"/>
      </w:pPr>
      <w:r>
        <w:rPr>
          <w:rFonts w:ascii="Arial" w:cs="Arial" w:eastAsia="Arial" w:hAnsi="Arial"/>
          <w:color w:val="2D2D2D"/>
          <w:sz w:val="20"/>
          <w:szCs w:val="20"/>
        </w:rPr>
        <w:t xml:space="preserve">No person shall re-enter the building until the fire and rescue service has confirmed it is safe to do so.</w:t>
      </w:r>
    </w:p>
    <w:p>
      <w:pPr>
        <w:spacing w:after="80" w:before="60"/>
        <w:jc w:val="both"/>
      </w:pPr>
      <w:r>
        <w:rPr>
          <w:rFonts w:ascii="Arial" w:cs="Arial" w:eastAsia="Arial" w:hAnsi="Arial"/>
          <w:color w:val="2D2D2D"/>
          <w:sz w:val="21"/>
          <w:szCs w:val="21"/>
        </w:rPr>
        <w:t xml:space="preserve">Fire evacuation drills shall be conducted at least six-monthly, with at least one unannounced drill per year. Drill reports shall record the date, time to evacuate, number of persons evacuated, and any issues identified, and shall be reviewed by the Responsible Person.</w:t>
      </w:r>
    </w:p>
    <w:p>
      <w:pPr>
        <w:pStyle w:val="Heading2"/>
        <w:spacing w:after="80" w:before="240"/>
      </w:pPr>
      <w:r>
        <w:rPr>
          <w:rFonts w:ascii="Arial" w:cs="Arial" w:eastAsia="Arial" w:hAnsi="Arial"/>
          <w:b/>
          <w:bCs/>
          <w:color w:val="0B1D3A"/>
          <w:sz w:val="24"/>
          <w:szCs w:val="24"/>
        </w:rPr>
        <w:t xml:space="preserve">7.6 Personal Emergency Evacuation Plans (PEEPs)</w:t>
      </w:r>
    </w:p>
    <w:p>
      <w:pPr>
        <w:spacing w:after="80" w:before="60"/>
        <w:jc w:val="both"/>
      </w:pPr>
      <w:r>
        <w:rPr>
          <w:rFonts w:ascii="Arial" w:cs="Arial" w:eastAsia="Arial" w:hAnsi="Arial"/>
          <w:color w:val="2D2D2D"/>
          <w:sz w:val="21"/>
          <w:szCs w:val="21"/>
        </w:rPr>
        <w:t xml:space="preserve">Personal Emergency Evacuation Plans shall be developed for any member of staff, regular patient, or frequent visitor who may require additional assistance to evacuate the building. This includes persons with mobility impairments, visual or hearing impairments, learning disabilities, temporary injuries, pregnancy, or any condition affecting their ability to evacuate independently.</w:t>
      </w:r>
    </w:p>
    <w:p>
      <w:pPr>
        <w:spacing w:after="80" w:before="60"/>
        <w:jc w:val="both"/>
      </w:pPr>
      <w:r>
        <w:rPr>
          <w:rFonts w:ascii="Arial" w:cs="Arial" w:eastAsia="Arial" w:hAnsi="Arial"/>
          <w:color w:val="2D2D2D"/>
          <w:sz w:val="21"/>
          <w:szCs w:val="21"/>
        </w:rPr>
        <w:t xml:space="preserve">PEEPs shall be developed in consultation with the individual, reviewed at least annually, and communicated to all fire wardens. Generic Emergency Evacuation Plans (GEEPs) shall be maintained for ad hoc visitors who may require assistance.</w:t>
      </w:r>
    </w:p>
    <w:p>
      <w:pPr>
        <w:pStyle w:val="Heading2"/>
        <w:spacing w:after="80" w:before="240"/>
      </w:pPr>
      <w:r>
        <w:rPr>
          <w:rFonts w:ascii="Arial" w:cs="Arial" w:eastAsia="Arial" w:hAnsi="Arial"/>
          <w:b/>
          <w:bCs/>
          <w:color w:val="0B1D3A"/>
          <w:sz w:val="24"/>
          <w:szCs w:val="24"/>
        </w:rPr>
        <w:t xml:space="preserve">7.7 Fire-Fighting Equipment</w:t>
      </w:r>
    </w:p>
    <w:p>
      <w:pPr>
        <w:spacing w:after="80" w:before="60"/>
        <w:jc w:val="both"/>
      </w:pPr>
      <w:r>
        <w:rPr>
          <w:rFonts w:ascii="Arial" w:cs="Arial" w:eastAsia="Arial" w:hAnsi="Arial"/>
          <w:color w:val="2D2D2D"/>
          <w:sz w:val="21"/>
          <w:szCs w:val="21"/>
        </w:rPr>
        <w:t xml:space="preserve">Portable fire extinguishers shall be provided at locations identified by the fire risk assessment and maintained in accordance with BS 5306-3. All extinguishers shall be inspected visually on a monthly basis by designated staff and serviced annually by a competent engineer.</w:t>
      </w:r>
    </w:p>
    <w:p>
      <w:pPr>
        <w:spacing w:after="80" w:before="60"/>
        <w:jc w:val="both"/>
      </w:pPr>
      <w:r>
        <w:rPr>
          <w:rFonts w:ascii="Arial" w:cs="Arial" w:eastAsia="Arial" w:hAnsi="Arial"/>
          <w:color w:val="2D2D2D"/>
          <w:sz w:val="21"/>
          <w:szCs w:val="21"/>
        </w:rPr>
        <w:t xml:space="preserve">Fire blankets shall be provided in all areas where cooking takes place or where minor procedures involving flammable products are conducted.</w:t>
      </w:r>
    </w:p>
    <w:p>
      <w:pPr>
        <w:spacing w:after="80" w:before="60"/>
        <w:jc w:val="both"/>
      </w:pPr>
      <w:r>
        <w:rPr>
          <w:rFonts w:ascii="Arial" w:cs="Arial" w:eastAsia="Arial" w:hAnsi="Arial"/>
          <w:color w:val="2D2D2D"/>
          <w:sz w:val="21"/>
          <w:szCs w:val="21"/>
        </w:rPr>
        <w:t xml:space="preserve">Only staff who have received fire extinguisher training shall attempt to use extinguishing equipment, and only where the fire is small and the escape route is clear. In all other circumstances, the priority is safe evacuation.</w:t>
      </w:r>
    </w:p>
    <w:p>
      <w:pPr>
        <w:pStyle w:val="Heading2"/>
        <w:spacing w:after="80" w:before="240"/>
      </w:pPr>
      <w:r>
        <w:rPr>
          <w:rFonts w:ascii="Arial" w:cs="Arial" w:eastAsia="Arial" w:hAnsi="Arial"/>
          <w:b/>
          <w:bCs/>
          <w:color w:val="0B1D3A"/>
          <w:sz w:val="24"/>
          <w:szCs w:val="24"/>
        </w:rPr>
        <w:t xml:space="preserve">7.8 Fire Safety Record-Keeping</w:t>
      </w:r>
    </w:p>
    <w:p>
      <w:pPr>
        <w:spacing w:after="80" w:before="60"/>
        <w:jc w:val="both"/>
      </w:pPr>
      <w:r>
        <w:rPr>
          <w:rFonts w:ascii="Arial" w:cs="Arial" w:eastAsia="Arial" w:hAnsi="Arial"/>
          <w:color w:val="2D2D2D"/>
          <w:sz w:val="21"/>
          <w:szCs w:val="21"/>
        </w:rPr>
        <w:t xml:space="preserve">A fire log book shall be maintained and shall contain, as a minimum: records of all fire alarm tests (weekly); fire drill records; fire safety training records; maintenance and inspection records for fire detection systems, emergency lighting, fire extinguishers, fire doors, and escape routes; fire risk assessment and action plan progress; and any fire-related incidents or near-misses.</w:t>
      </w:r>
    </w:p>
    <w:p>
      <w:pPr>
        <w:spacing w:after="80" w:before="60"/>
        <w:jc w:val="both"/>
      </w:pPr>
      <w:r>
        <w:rPr>
          <w:rFonts w:ascii="Arial" w:cs="Arial" w:eastAsia="Arial" w:hAnsi="Arial"/>
          <w:color w:val="2D2D2D"/>
          <w:sz w:val="21"/>
          <w:szCs w:val="21"/>
        </w:rPr>
        <w:t xml:space="preserve">The fire log book shall be kept on the premises and available for inspection by the fire and rescue authority, HSE, or CQC at any time.</w:t>
      </w:r>
    </w:p>
    <w:p>
      <w:pPr>
        <w:pStyle w:val="Heading1"/>
        <w:spacing w:after="120" w:before="360"/>
      </w:pPr>
      <w:r>
        <w:rPr>
          <w:rFonts w:ascii="Arial" w:cs="Arial" w:eastAsia="Arial" w:hAnsi="Arial"/>
          <w:b/>
          <w:bCs/>
          <w:color w:val="0B1D3A"/>
          <w:sz w:val="28"/>
          <w:szCs w:val="28"/>
        </w:rPr>
        <w:t xml:space="preserve">8. Training and Awareness</w:t>
      </w:r>
    </w:p>
    <w:p>
      <w:pPr>
        <w:pStyle w:val="ListParagraph"/>
        <w:numPr>
          <w:ilvl w:val="0"/>
          <w:numId w:val="2"/>
        </w:numPr>
        <w:spacing w:after="40" w:before="40"/>
      </w:pPr>
      <w:r>
        <w:rPr>
          <w:rFonts w:ascii="Arial" w:cs="Arial" w:eastAsia="Arial" w:hAnsi="Arial"/>
          <w:color w:val="2D2D2D"/>
          <w:sz w:val="20"/>
          <w:szCs w:val="20"/>
        </w:rPr>
        <w:t xml:space="preserve">All new staff shall receive fire safety induction training on their first day of work, covering: fire evacuation procedure, escape routes and exits, location of fire alarm call points and extinguishers, assembly point, and fire action notices.</w:t>
      </w:r>
    </w:p>
    <w:p>
      <w:pPr>
        <w:pStyle w:val="ListParagraph"/>
        <w:numPr>
          <w:ilvl w:val="0"/>
          <w:numId w:val="2"/>
        </w:numPr>
        <w:spacing w:after="40" w:before="40"/>
      </w:pPr>
      <w:r>
        <w:rPr>
          <w:rFonts w:ascii="Arial" w:cs="Arial" w:eastAsia="Arial" w:hAnsi="Arial"/>
          <w:color w:val="2D2D2D"/>
          <w:sz w:val="20"/>
          <w:szCs w:val="20"/>
        </w:rPr>
        <w:t xml:space="preserve">All staff shall complete fire safety awareness training at least annually, including practical instruction on fire extinguisher use for those with designated fire-fighting roles.</w:t>
      </w:r>
    </w:p>
    <w:p>
      <w:pPr>
        <w:pStyle w:val="ListParagraph"/>
        <w:numPr>
          <w:ilvl w:val="0"/>
          <w:numId w:val="2"/>
        </w:numPr>
        <w:spacing w:after="40" w:before="40"/>
      </w:pPr>
      <w:r>
        <w:rPr>
          <w:rFonts w:ascii="Arial" w:cs="Arial" w:eastAsia="Arial" w:hAnsi="Arial"/>
          <w:color w:val="2D2D2D"/>
          <w:sz w:val="20"/>
          <w:szCs w:val="20"/>
        </w:rPr>
        <w:t xml:space="preserve">Fire wardens shall receive specific fire warden training on appointment and refresher training annually. Training shall cover zone responsibilities, sweep techniques, reporting procedures, and coordination with the fire and rescue service.</w:t>
      </w:r>
    </w:p>
    <w:p>
      <w:pPr>
        <w:pStyle w:val="ListParagraph"/>
        <w:numPr>
          <w:ilvl w:val="0"/>
          <w:numId w:val="2"/>
        </w:numPr>
        <w:spacing w:after="40" w:before="40"/>
      </w:pPr>
      <w:r>
        <w:rPr>
          <w:rFonts w:ascii="Arial" w:cs="Arial" w:eastAsia="Arial" w:hAnsi="Arial"/>
          <w:color w:val="2D2D2D"/>
          <w:sz w:val="20"/>
          <w:szCs w:val="20"/>
        </w:rPr>
        <w:t xml:space="preserve">Fire evacuation drills shall serve as a training exercise for all occupants. Debrief sessions following drills shall be used to reinforce learning and address identified weaknesses.</w:t>
      </w:r>
    </w:p>
    <w:p>
      <w:pPr>
        <w:pStyle w:val="ListParagraph"/>
        <w:numPr>
          <w:ilvl w:val="0"/>
          <w:numId w:val="2"/>
        </w:numPr>
        <w:spacing w:after="40" w:before="40"/>
      </w:pPr>
      <w:r>
        <w:rPr>
          <w:rFonts w:ascii="Arial" w:cs="Arial" w:eastAsia="Arial" w:hAnsi="Arial"/>
          <w:color w:val="2D2D2D"/>
          <w:sz w:val="20"/>
          <w:szCs w:val="20"/>
        </w:rPr>
        <w:t xml:space="preserve">The Responsible Person shall ensure that any person providing fire safety advice or conducting fire risk assessments holds appropriate competency (e.g. third-party certification by IFE, BAFE, or equivalent).</w:t>
      </w:r>
    </w:p>
    <w:p>
      <w:pPr>
        <w:pStyle w:val="Heading1"/>
        <w:spacing w:after="120" w:before="360"/>
      </w:pPr>
      <w:r>
        <w:rPr>
          <w:rFonts w:ascii="Arial" w:cs="Arial" w:eastAsia="Arial" w:hAnsi="Arial"/>
          <w:b/>
          <w:bCs/>
          <w:color w:val="0B1D3A"/>
          <w:sz w:val="28"/>
          <w:szCs w:val="28"/>
        </w:rPr>
        <w:t xml:space="preserve">9. Monitoring and Compliance</w:t>
      </w:r>
    </w:p>
    <w:p>
      <w:pPr>
        <w:spacing w:after="80" w:before="60"/>
        <w:jc w:val="both"/>
      </w:pPr>
      <w:r>
        <w:rPr>
          <w:rFonts w:ascii="Arial" w:cs="Arial" w:eastAsia="Arial" w:hAnsi="Arial"/>
          <w:color w:val="2D2D2D"/>
          <w:sz w:val="21"/>
          <w:szCs w:val="21"/>
        </w:rPr>
        <w:t xml:space="preserve">Compliance with this policy shall be monitored through the following mechanisms: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106"/>
      </w:tblGrid>
      <w:tr>
        <w:tc>
          <w:tcPr>
            <w:tcW w:type="dxa" w:w="3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Monitoring Activity</w:t>
            </w:r>
          </w:p>
        </w:tc>
        <w:tc>
          <w:tcPr>
            <w:tcW w:type="dxa" w:w="2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Frequency</w:t>
            </w:r>
          </w:p>
        </w:tc>
        <w:tc>
          <w:tcPr>
            <w:tcW w:type="dxa" w:w="41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Responsible Person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Fire alarm weekly test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Weekly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Fire Warden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Escape route and fire door inspection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Monthly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Fire Warden / Practice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Fire extinguisher visual inspection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Monthly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Designated Staff Member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Emergency lighting function test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Monthly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 / Contractor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Fire evacuation drill</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Six-monthly (min. 1 unannounced)</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Fire Safety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Fire detection system service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Six-monthly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Competent Contractor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Fire extinguisher service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Competent Contractor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Emergency lighting full duration test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Competent Contractor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Fire risk assessment review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 (min.) or on change</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Competent Person / Responsible Person</w:t>
            </w:r>
          </w:p>
        </w:tc>
      </w:tr>
    </w:tbl>
    <w:p>
      <w:pPr>
        <w:pStyle w:val="Heading1"/>
        <w:spacing w:after="120" w:before="360"/>
      </w:pPr>
      <w:r>
        <w:rPr>
          <w:rFonts w:ascii="Arial" w:cs="Arial" w:eastAsia="Arial" w:hAnsi="Arial"/>
          <w:b/>
          <w:bCs/>
          <w:color w:val="0B1D3A"/>
          <w:sz w:val="28"/>
          <w:szCs w:val="28"/>
        </w:rPr>
        <w:t xml:space="preserve">10. Related Policies and Documents</w:t>
      </w:r>
    </w:p>
    <w:p>
      <w:pPr>
        <w:pStyle w:val="ListParagraph"/>
        <w:numPr>
          <w:ilvl w:val="0"/>
          <w:numId w:val="2"/>
        </w:numPr>
        <w:spacing w:after="40" w:before="40"/>
      </w:pPr>
      <w:r>
        <w:rPr>
          <w:rFonts w:ascii="Arial" w:cs="Arial" w:eastAsia="Arial" w:hAnsi="Arial"/>
          <w:color w:val="2D2D2D"/>
          <w:sz w:val="20"/>
          <w:szCs w:val="20"/>
        </w:rPr>
        <w:t xml:space="preserve">BS-RA-FS-003 Fire Safety Risk Assessment</w:t>
      </w:r>
    </w:p>
    <w:p>
      <w:pPr>
        <w:pStyle w:val="ListParagraph"/>
        <w:numPr>
          <w:ilvl w:val="0"/>
          <w:numId w:val="2"/>
        </w:numPr>
        <w:spacing w:after="40" w:before="40"/>
      </w:pPr>
      <w:r>
        <w:rPr>
          <w:rFonts w:ascii="Arial" w:cs="Arial" w:eastAsia="Arial" w:hAnsi="Arial"/>
          <w:color w:val="2D2D2D"/>
          <w:sz w:val="20"/>
          <w:szCs w:val="20"/>
        </w:rPr>
        <w:t xml:space="preserve">BS-POL-HS-001 Health and Safety Policy</w:t>
      </w:r>
    </w:p>
    <w:p>
      <w:pPr>
        <w:pStyle w:val="ListParagraph"/>
        <w:numPr>
          <w:ilvl w:val="0"/>
          <w:numId w:val="2"/>
        </w:numPr>
        <w:spacing w:after="40" w:before="40"/>
      </w:pPr>
      <w:r>
        <w:rPr>
          <w:rFonts w:ascii="Arial" w:cs="Arial" w:eastAsia="Arial" w:hAnsi="Arial"/>
          <w:color w:val="2D2D2D"/>
          <w:sz w:val="20"/>
          <w:szCs w:val="20"/>
        </w:rPr>
        <w:t xml:space="preserve">Practice Business Continuity Plan</w:t>
      </w:r>
    </w:p>
    <w:p>
      <w:pPr>
        <w:pStyle w:val="ListParagraph"/>
        <w:numPr>
          <w:ilvl w:val="0"/>
          <w:numId w:val="2"/>
        </w:numPr>
        <w:spacing w:after="40" w:before="40"/>
      </w:pPr>
      <w:r>
        <w:rPr>
          <w:rFonts w:ascii="Arial" w:cs="Arial" w:eastAsia="Arial" w:hAnsi="Arial"/>
          <w:color w:val="2D2D2D"/>
          <w:sz w:val="20"/>
          <w:szCs w:val="20"/>
        </w:rPr>
        <w:t xml:space="preserve">Practice Personal Emergency Evacuation Plans (PEEPs) Register</w:t>
      </w:r>
    </w:p>
    <w:p>
      <w:pPr>
        <w:pStyle w:val="ListParagraph"/>
        <w:numPr>
          <w:ilvl w:val="0"/>
          <w:numId w:val="2"/>
        </w:numPr>
        <w:spacing w:after="40" w:before="40"/>
      </w:pPr>
      <w:r>
        <w:rPr>
          <w:rFonts w:ascii="Arial" w:cs="Arial" w:eastAsia="Arial" w:hAnsi="Arial"/>
          <w:color w:val="2D2D2D"/>
          <w:sz w:val="20"/>
          <w:szCs w:val="20"/>
        </w:rPr>
        <w:t xml:space="preserve">Fire Log Book</w:t>
      </w:r>
    </w:p>
    <w:p>
      <w:pPr>
        <w:pStyle w:val="ListParagraph"/>
        <w:numPr>
          <w:ilvl w:val="0"/>
          <w:numId w:val="2"/>
        </w:numPr>
        <w:spacing w:after="40" w:before="40"/>
      </w:pPr>
      <w:r>
        <w:rPr>
          <w:rFonts w:ascii="Arial" w:cs="Arial" w:eastAsia="Arial" w:hAnsi="Arial"/>
          <w:color w:val="2D2D2D"/>
          <w:sz w:val="20"/>
          <w:szCs w:val="20"/>
        </w:rPr>
        <w:t xml:space="preserve">Hot Works Permit-to-Work Procedure</w:t>
      </w:r>
    </w:p>
    <w:p>
      <w:pPr>
        <w:pStyle w:val="Heading1"/>
        <w:spacing w:after="120" w:before="360"/>
      </w:pPr>
      <w:r>
        <w:rPr>
          <w:rFonts w:ascii="Arial" w:cs="Arial" w:eastAsia="Arial" w:hAnsi="Arial"/>
          <w:b/>
          <w:bCs/>
          <w:color w:val="0B1D3A"/>
          <w:sz w:val="28"/>
          <w:szCs w:val="28"/>
        </w:rPr>
        <w:t xml:space="preserve">11. Equality and Diversity Statement</w:t>
      </w:r>
    </w:p>
    <w:p>
      <w:pPr>
        <w:spacing w:after="80" w:before="60"/>
        <w:jc w:val="both"/>
      </w:pPr>
      <w:r>
        <w:rPr>
          <w:rFonts w:ascii="Arial" w:cs="Arial" w:eastAsia="Arial" w:hAnsi="Arial"/>
          <w:color w:val="2D2D2D"/>
          <w:sz w:val="21"/>
          <w:szCs w:val="21"/>
        </w:rPr>
        <w:t xml:space="preserve">This policy has been subject to an Equality Impact Assessment. The practice is committed to ensuring that this policy is applied fairly and consistently to all persons regardless of age, disability, gender reassignment, marriage and civil partnership, pregnancy and maternity, race, religion or belief, sex, or sexual orientation, in accordance with the Equality Act 2010. Reasonable adjustments will be made for staff and patients with protected characteristics where required.</w:t>
      </w:r>
    </w:p>
    <w:p>
      <w:pPr>
        <w:pStyle w:val="Heading1"/>
        <w:spacing w:after="120" w:before="360"/>
      </w:pPr>
      <w:r>
        <w:rPr>
          <w:rFonts w:ascii="Arial" w:cs="Arial" w:eastAsia="Arial" w:hAnsi="Arial"/>
          <w:b/>
          <w:bCs/>
          <w:color w:val="0B1D3A"/>
          <w:sz w:val="28"/>
          <w:szCs w:val="28"/>
        </w:rPr>
        <w:t xml:space="preserve">12. Review</w:t>
      </w:r>
    </w:p>
    <w:p>
      <w:pPr>
        <w:spacing w:after="80" w:before="60"/>
        <w:jc w:val="both"/>
      </w:pPr>
      <w:r>
        <w:rPr>
          <w:rFonts w:ascii="Arial" w:cs="Arial" w:eastAsia="Arial" w:hAnsi="Arial"/>
          <w:color w:val="2D2D2D"/>
          <w:sz w:val="21"/>
          <w:szCs w:val="21"/>
        </w:rPr>
        <w:t xml:space="preserve">This policy shall be reviewed at least annually, or sooner in the event of changes to legislation, regulatory guidance, national standards, significant incidents, or organisational changes. The next scheduled review date is [Insert Date – 12 months from approval]. The Responsible Person (Senior Partner / Practice Manager) is responsible for initiating the review process and ensuring updated versions are disseminated to all relevant staff.</w:t>
      </w:r>
    </w:p>
    <w:p>
      <w:r>
        <w:br w:type="page"/>
      </w:r>
    </w:p>
    <w:p>
      <w:pPr>
        <w:pStyle w:val="Heading1"/>
        <w:spacing w:after="120" w:before="360"/>
      </w:pPr>
      <w:r>
        <w:rPr>
          <w:rFonts w:ascii="Arial" w:cs="Arial" w:eastAsia="Arial" w:hAnsi="Arial"/>
          <w:b/>
          <w:bCs/>
          <w:color w:val="0B1D3A"/>
          <w:sz w:val="28"/>
          <w:szCs w:val="28"/>
        </w:rPr>
        <w:t xml:space="preserve">13. Approval and Sign-Off</w:t>
      </w:r>
    </w:p>
    <w:p>
      <w:pPr>
        <w:spacing w:after="80" w:before="60"/>
        <w:jc w:val="both"/>
      </w:pPr>
      <w:r>
        <w:rPr>
          <w:rFonts w:ascii="Arial" w:cs="Arial" w:eastAsia="Arial" w:hAnsi="Arial"/>
          <w:color w:val="2D2D2D"/>
          <w:sz w:val="21"/>
          <w:szCs w:val="21"/>
        </w:rPr>
        <w:t xml:space="preserve">This policy has been reviewed and approved by the following authorised persons:</w:t>
      </w:r>
    </w:p>
    <w:p>
      <w:pPr>
        <w:spacing w:before="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00"/>
        <w:gridCol w:w="1400"/>
        <w:gridCol w:w="2600"/>
        <w:gridCol w:w="2406"/>
      </w:tblGrid>
      <w:tr>
        <w:tc>
          <w:tcPr>
            <w:tcW w:type="dxa" w:w="31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Role</w:t>
            </w:r>
          </w:p>
        </w:tc>
        <w:tc>
          <w:tcPr>
            <w:tcW w:type="dxa" w:w="1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Print Name</w:t>
            </w:r>
          </w:p>
        </w:tc>
        <w:tc>
          <w:tcPr>
            <w:tcW w:type="dxa" w:w="26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Signature</w:t>
            </w:r>
          </w:p>
        </w:tc>
        <w:tc>
          <w:tcPr>
            <w:tcW w:type="dxa" w:w="24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w:t>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Policy Author: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Senior Partner / Lead GP: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Caldicott Guardian / IG Lead: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bl>
    <w:p>
      <w:pPr>
        <w:spacing w:before="200"/>
      </w:pPr>
    </w:p>
    <w:p>
      <w:pPr>
        <w:pBdr>
          <w:bottom w:val="single" w:color="D4AF37" w:sz="8" w:space="1"/>
        </w:pBdr>
        <w:spacing w:after="160" w:before="160"/>
      </w:pPr>
    </w:p>
    <w:p>
      <w:pPr>
        <w:spacing w:after="100" w:before="160"/>
      </w:pPr>
      <w:r>
        <w:rPr>
          <w:rFonts w:ascii="Arial" w:cs="Arial" w:eastAsia="Arial" w:hAnsi="Arial"/>
          <w:b/>
          <w:bCs/>
          <w:color w:val="0B1D3A"/>
          <w:sz w:val="24"/>
          <w:szCs w:val="24"/>
        </w:rPr>
        <w:t xml:space="preserve">Version History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4106"/>
      </w:tblGrid>
      <w:tr>
        <w:tc>
          <w:tcPr>
            <w:tcW w:type="dxa" w:w="1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Version</w:t>
            </w:r>
          </w:p>
        </w:tc>
        <w:tc>
          <w:tcPr>
            <w:tcW w:type="dxa" w:w="18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w:t>
            </w:r>
          </w:p>
        </w:tc>
        <w:tc>
          <w:tcPr>
            <w:tcW w:type="dxa" w:w="2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Author</w:t>
            </w:r>
          </w:p>
        </w:tc>
        <w:tc>
          <w:tcPr>
            <w:tcW w:type="dxa" w:w="41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Summary of Changes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color w:val="2D2D2D"/>
                <w:sz w:val="19"/>
                <w:szCs w:val="19"/>
              </w:rPr>
              <w:t xml:space="preserve">1.0</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Initial issue</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bl>
    <w:p>
      <w:pPr>
        <w:spacing w:before="300"/>
      </w:pPr>
    </w:p>
    <w:p>
      <w:pPr>
        <w:pBdr>
          <w:top w:val="single" w:color="D4AF37" w:sz="4" w:space="1"/>
        </w:pBdr>
        <w:spacing w:before="200"/>
        <w:jc w:val="center"/>
      </w:pPr>
      <w:r>
        <w:rPr>
          <w:rFonts w:ascii="Arial" w:cs="Arial" w:eastAsia="Arial" w:hAnsi="Arial"/>
          <w:b/>
          <w:bCs/>
          <w:color w:val="0B1D3A"/>
          <w:sz w:val="18"/>
          <w:szCs w:val="18"/>
        </w:rPr>
        <w:t xml:space="preserve">Prepared by Barker Scott  |  barker-scott.co.uk  |  Health &amp; Safety Consultants</w:t>
      </w:r>
    </w:p>
    <w:p>
      <w:pPr>
        <w:spacing w:after="200" w:before="60"/>
        <w:jc w:val="center"/>
      </w:pPr>
      <w:r>
        <w:rPr>
          <w:rFonts w:ascii="Arial" w:cs="Arial" w:eastAsia="Arial" w:hAnsi="Arial"/>
          <w:i/>
          <w:iCs/>
          <w:color w:val="6B7280"/>
          <w:sz w:val="14"/>
          <w:szCs w:val="14"/>
        </w:rPr>
        <w:t xml:space="preserve">This document is confidential and intended solely for use by the named practice. Unauthorised reproduction or distribution is prohibited.</w:t>
      </w:r>
    </w:p>
    <w:sectPr>
      <w:headerReference w:type="default" r:id="rId7"/>
      <w:footerReference w:type="default" r:id="rId8"/>
      <w:pgSz w:w="11906" w:h="16838" w:orient="portrait"/>
      <w:pgMar w:top="16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3" w:space="1"/>
      </w:pBdr>
      <w:spacing w:before="60"/>
    </w:pPr>
    <w:r>
      <w:rPr>
        <w:rFonts w:ascii="Arial" w:cs="Arial" w:eastAsia="Arial" w:hAnsi="Arial"/>
        <w:color w:val="6B7280"/>
        <w:sz w:val="14"/>
        <w:szCs w:val="14"/>
      </w:rPr>
      <w:t xml:space="preserve">BS-POL-FS-003  |  v1.0  |  </w:t>
    </w:r>
    <w:r>
      <w:rPr>
        <w:rFonts w:ascii="Arial" w:cs="Arial" w:eastAsia="Arial" w:hAnsi="Arial"/>
        <w:color w:val="6B7280"/>
        <w:sz w:val="14"/>
        <w:szCs w:val="14"/>
      </w:rPr>
      <w:t xml:space="preserve">Page </w:t>
    </w:r>
    <w:r>
      <w:rPr>
        <w:rFonts w:ascii="Arial" w:cs="Arial" w:eastAsia="Arial" w:hAnsi="Arial"/>
        <w:color w:val="6B7280"/>
        <w:sz w:val="14"/>
        <w:szCs w:val="14"/>
      </w:rPr>
      <w:fldChar w:fldCharType="begin"/>
      <w:instrText xml:space="preserve">PAGE</w:instrText>
      <w:fldChar w:fldCharType="separate"/>
      <w:fldChar w:fldCharType="end"/>
    </w:r>
    <w:r>
      <w:rPr>
        <w:rFonts w:ascii="Arial" w:cs="Arial" w:eastAsia="Arial" w:hAnsi="Arial"/>
        <w:color w:val="6B7280"/>
        <w:sz w:val="14"/>
        <w:szCs w:val="14"/>
      </w:rPr>
      <w:t xml:space="preserve">  |  Barker Scott ©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40"/>
    </w:pPr>
    <w:r>
      <w:rPr>
        <w:rFonts w:ascii="Arial" w:cs="Arial" w:eastAsia="Arial" w:hAnsi="Arial"/>
        <w:b/>
        <w:bCs/>
        <w:color w:val="0B1D3A"/>
        <w:sz w:val="22"/>
        <w:szCs w:val="22"/>
      </w:rPr>
      <w:t xml:space="preserve">BARKER SCOTT</w:t>
    </w:r>
    <w:r>
      <w:rPr>
        <w:rFonts w:ascii="Arial" w:cs="Arial" w:eastAsia="Arial" w:hAnsi="Arial"/>
        <w:color w:val="D4AF37"/>
        <w:sz w:val="18"/>
        <w:szCs w:val="18"/>
      </w:rPr>
      <w:t xml:space="preserve">  |  </w:t>
    </w:r>
    <w:r>
      <w:rPr>
        <w:rFonts w:ascii="Arial" w:cs="Arial" w:eastAsia="Arial" w:hAnsi="Arial"/>
        <w:color w:val="6B7280"/>
        <w:sz w:val="18"/>
        <w:szCs w:val="18"/>
      </w:rPr>
      <w:t xml:space="preserve">Health &amp; Safety Consultants</w:t>
    </w:r>
  </w:p>
  <w:p>
    <w:pPr>
      <w:pBdr>
        <w:bottom w:val="single" w:color="D4AF37" w:sz="6" w:space="1"/>
      </w:pBdr>
      <w:spacing w:after="60"/>
    </w:pPr>
    <w:r>
      <w:rPr>
        <w:rFonts w:ascii="Arial" w:cs="Arial" w:eastAsia="Arial" w:hAnsi="Arial"/>
        <w:i/>
        <w:iCs/>
        <w:color w:val="6B7280"/>
        <w:sz w:val="15"/>
        <w:szCs w:val="15"/>
      </w:rPr>
      <w:t xml:space="preserve">BS-POL-FS-003  |  Fire Safety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B1D3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2026-05-15T12:48:43.720Z</dcterms:created>
  <dcterms:modified xsi:type="dcterms:W3CDTF">2026-05-15T12:48:43.720Z</dcterms:modified>
</cp:coreProperties>
</file>

<file path=docProps/custom.xml><?xml version="1.0" encoding="utf-8"?>
<Properties xmlns="http://schemas.openxmlformats.org/officeDocument/2006/custom-properties" xmlns:vt="http://schemas.openxmlformats.org/officeDocument/2006/docPropsVTypes"/>
</file>