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HEALTH AND SAFETY</w:t>
      </w:r>
    </w:p>
    <w:p>
      <w:pPr>
        <w:spacing w:after="20"/>
        <w:jc w:val="center"/>
      </w:pPr>
      <w:r>
        <w:rPr>
          <w:rFonts w:ascii="Arial" w:cs="Arial" w:eastAsia="Arial" w:hAnsi="Arial"/>
          <w:i/>
          <w:iCs/>
          <w:color w:val="6B7280"/>
          <w:sz w:val="22"/>
          <w:szCs w:val="22"/>
        </w:rPr>
        <w:t xml:space="preserve">Comprehensive workplace health and safety management for general practice</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BS-POL-HS-001</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ensuring the health, safety, and welfare of all employees, patients, visitors, contractors, and any other persons who may be affected by its activities. The practice recognises its duties under the Health and Safety at Work etc. Act 1974 and will, so far as is reasonably practicable, ensure that safe systems of work are established, maintained, and continuously improved. The Senior Partner / Lead GP accepts overall responsibility for health and safety within the practice and will ensure that adequate resources are made available for its effective management.</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The purpose of this policy is to set out the practice’s commitment to managing health and safety risks, to define the organisational framework for discharging statutory duties, and to establish the arrangements by which health and safety will be managed on a day-to-day basis.</w:t>
      </w:r>
    </w:p>
    <w:p>
      <w:pPr>
        <w:spacing w:after="80" w:before="60"/>
        <w:jc w:val="both"/>
      </w:pPr>
      <w:r>
        <w:rPr>
          <w:rFonts w:ascii="Arial" w:cs="Arial" w:eastAsia="Arial" w:hAnsi="Arial"/>
          <w:color w:val="2D2D2D"/>
          <w:sz w:val="21"/>
          <w:szCs w:val="21"/>
        </w:rPr>
        <w:t xml:space="preserve">This policy provides the overarching framework within which individual risk assessments, safe systems of work, and topic-specific policies operate.</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employees, including part-time, temporary, and bank staff</w:t>
      </w:r>
    </w:p>
    <w:p>
      <w:pPr>
        <w:pStyle w:val="ListParagraph"/>
        <w:numPr>
          <w:ilvl w:val="0"/>
          <w:numId w:val="2"/>
        </w:numPr>
        <w:spacing w:after="40" w:before="40"/>
      </w:pPr>
      <w:r>
        <w:rPr>
          <w:rFonts w:ascii="Arial" w:cs="Arial" w:eastAsia="Arial" w:hAnsi="Arial"/>
          <w:color w:val="2D2D2D"/>
          <w:sz w:val="20"/>
          <w:szCs w:val="20"/>
        </w:rPr>
        <w:t xml:space="preserve">Locum clinicians, GP registrars, and medical students on placement</w:t>
      </w:r>
    </w:p>
    <w:p>
      <w:pPr>
        <w:pStyle w:val="ListParagraph"/>
        <w:numPr>
          <w:ilvl w:val="0"/>
          <w:numId w:val="2"/>
        </w:numPr>
        <w:spacing w:after="40" w:before="40"/>
      </w:pPr>
      <w:r>
        <w:rPr>
          <w:rFonts w:ascii="Arial" w:cs="Arial" w:eastAsia="Arial" w:hAnsi="Arial"/>
          <w:color w:val="2D2D2D"/>
          <w:sz w:val="20"/>
          <w:szCs w:val="20"/>
        </w:rPr>
        <w:t xml:space="preserve">Patients, visitors, carers, and accompanying persons</w:t>
      </w:r>
    </w:p>
    <w:p>
      <w:pPr>
        <w:pStyle w:val="ListParagraph"/>
        <w:numPr>
          <w:ilvl w:val="0"/>
          <w:numId w:val="2"/>
        </w:numPr>
        <w:spacing w:after="40" w:before="40"/>
      </w:pPr>
      <w:r>
        <w:rPr>
          <w:rFonts w:ascii="Arial" w:cs="Arial" w:eastAsia="Arial" w:hAnsi="Arial"/>
          <w:color w:val="2D2D2D"/>
          <w:sz w:val="20"/>
          <w:szCs w:val="20"/>
        </w:rPr>
        <w:t xml:space="preserve">Contractors, sub-contractors, and maintenance personnel working on or visiting the premises</w:t>
      </w:r>
    </w:p>
    <w:p>
      <w:pPr>
        <w:pStyle w:val="ListParagraph"/>
        <w:numPr>
          <w:ilvl w:val="0"/>
          <w:numId w:val="2"/>
        </w:numPr>
        <w:spacing w:after="40" w:before="40"/>
      </w:pPr>
      <w:r>
        <w:rPr>
          <w:rFonts w:ascii="Arial" w:cs="Arial" w:eastAsia="Arial" w:hAnsi="Arial"/>
          <w:color w:val="2D2D2D"/>
          <w:sz w:val="20"/>
          <w:szCs w:val="20"/>
        </w:rPr>
        <w:t xml:space="preserve">All practice premises, including any branch surgeries, and activities conducted off-site (home visits, outreach clinics)</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Competent Person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person with sufficient training, knowledge, experience, and qualifications to assist the practice in meeting its health and safety obligations (Regulation 7, Management of Health and Safety at Work Regulations 1999).</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Reasonably Practicable</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legal standard requiring that the effort and cost of risk reduction is proportionate to the degree of risk, as established in Edwards v National Coal Board [1949].</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RIDDOR</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Reporting of Injuries, Diseases and Dangerous Occurrences Regulations 2013 – requires notification of specified workplace incidents to the Health and Safety Executive.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Risk Assessment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systematic process of identifying hazards, evaluating the risk arising from those hazards, and determining appropriate control measures (Regulation 3, Management Regulations 1999).</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Health and Safety at Work etc. Act 1974 (Sections 2–9)</w:t>
      </w:r>
    </w:p>
    <w:p>
      <w:pPr>
        <w:pStyle w:val="ListParagraph"/>
        <w:numPr>
          <w:ilvl w:val="0"/>
          <w:numId w:val="2"/>
        </w:numPr>
        <w:spacing w:after="40" w:before="40"/>
      </w:pPr>
      <w:r>
        <w:rPr>
          <w:rFonts w:ascii="Arial" w:cs="Arial" w:eastAsia="Arial" w:hAnsi="Arial"/>
          <w:color w:val="2D2D2D"/>
          <w:sz w:val="20"/>
          <w:szCs w:val="20"/>
        </w:rPr>
        <w:t xml:space="preserve">The Management of Health and Safety at Work Regulations 1999 (SI 1999/3242)</w:t>
      </w:r>
    </w:p>
    <w:p>
      <w:pPr>
        <w:pStyle w:val="ListParagraph"/>
        <w:numPr>
          <w:ilvl w:val="0"/>
          <w:numId w:val="2"/>
        </w:numPr>
        <w:spacing w:after="40" w:before="40"/>
      </w:pPr>
      <w:r>
        <w:rPr>
          <w:rFonts w:ascii="Arial" w:cs="Arial" w:eastAsia="Arial" w:hAnsi="Arial"/>
          <w:color w:val="2D2D2D"/>
          <w:sz w:val="20"/>
          <w:szCs w:val="20"/>
        </w:rPr>
        <w:t xml:space="preserve">The Workplace (Health, Safety and Welfare) Regulations 1992 (SI 1992/3004)</w:t>
      </w:r>
    </w:p>
    <w:p>
      <w:pPr>
        <w:pStyle w:val="ListParagraph"/>
        <w:numPr>
          <w:ilvl w:val="0"/>
          <w:numId w:val="2"/>
        </w:numPr>
        <w:spacing w:after="40" w:before="40"/>
      </w:pPr>
      <w:r>
        <w:rPr>
          <w:rFonts w:ascii="Arial" w:cs="Arial" w:eastAsia="Arial" w:hAnsi="Arial"/>
          <w:color w:val="2D2D2D"/>
          <w:sz w:val="20"/>
          <w:szCs w:val="20"/>
        </w:rPr>
        <w:t xml:space="preserve">Reporting of Injuries, Diseases and Dangerous Occurrences Regulations 2013 (RIDDOR) (SI 2013/1471)</w:t>
      </w:r>
    </w:p>
    <w:p>
      <w:pPr>
        <w:pStyle w:val="ListParagraph"/>
        <w:numPr>
          <w:ilvl w:val="0"/>
          <w:numId w:val="2"/>
        </w:numPr>
        <w:spacing w:after="40" w:before="40"/>
      </w:pPr>
      <w:r>
        <w:rPr>
          <w:rFonts w:ascii="Arial" w:cs="Arial" w:eastAsia="Arial" w:hAnsi="Arial"/>
          <w:color w:val="2D2D2D"/>
          <w:sz w:val="20"/>
          <w:szCs w:val="20"/>
        </w:rPr>
        <w:t xml:space="preserve">Health and Safety (Consultation with Employees) Regulations 1996 (SI 1996/1513)</w:t>
      </w:r>
    </w:p>
    <w:p>
      <w:pPr>
        <w:pStyle w:val="ListParagraph"/>
        <w:numPr>
          <w:ilvl w:val="0"/>
          <w:numId w:val="2"/>
        </w:numPr>
        <w:spacing w:after="40" w:before="40"/>
      </w:pPr>
      <w:r>
        <w:rPr>
          <w:rFonts w:ascii="Arial" w:cs="Arial" w:eastAsia="Arial" w:hAnsi="Arial"/>
          <w:color w:val="2D2D2D"/>
          <w:sz w:val="20"/>
          <w:szCs w:val="20"/>
        </w:rPr>
        <w:t xml:space="preserve">The Health and Safety Information for Employees Regulations 1989 (SI 1989/682)</w:t>
      </w:r>
    </w:p>
    <w:p>
      <w:pPr>
        <w:pStyle w:val="ListParagraph"/>
        <w:numPr>
          <w:ilvl w:val="0"/>
          <w:numId w:val="2"/>
        </w:numPr>
        <w:spacing w:after="40" w:before="40"/>
      </w:pPr>
      <w:r>
        <w:rPr>
          <w:rFonts w:ascii="Arial" w:cs="Arial" w:eastAsia="Arial" w:hAnsi="Arial"/>
          <w:color w:val="2D2D2D"/>
          <w:sz w:val="20"/>
          <w:szCs w:val="20"/>
        </w:rPr>
        <w:t xml:space="preserve">Employers’ Liability (Compulsory Insurance) Act 1969</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12 – Safe Care and Treatment; Regulation 15 – Premises and Equipment)</w:t>
      </w:r>
    </w:p>
    <w:p>
      <w:pPr>
        <w:pStyle w:val="ListParagraph"/>
        <w:numPr>
          <w:ilvl w:val="0"/>
          <w:numId w:val="2"/>
        </w:numPr>
        <w:spacing w:after="40" w:before="40"/>
      </w:pPr>
      <w:r>
        <w:rPr>
          <w:rFonts w:ascii="Arial" w:cs="Arial" w:eastAsia="Arial" w:hAnsi="Arial"/>
          <w:color w:val="2D2D2D"/>
          <w:sz w:val="20"/>
          <w:szCs w:val="20"/>
        </w:rPr>
        <w:t xml:space="preserve">CQC Fundamental Standards (Health and Social Care Act 2008)</w:t>
      </w:r>
    </w:p>
    <w:p>
      <w:pPr>
        <w:pStyle w:val="ListParagraph"/>
        <w:numPr>
          <w:ilvl w:val="0"/>
          <w:numId w:val="2"/>
        </w:numPr>
        <w:spacing w:after="40" w:before="40"/>
      </w:pPr>
      <w:r>
        <w:rPr>
          <w:rFonts w:ascii="Arial" w:cs="Arial" w:eastAsia="Arial" w:hAnsi="Arial"/>
          <w:color w:val="2D2D2D"/>
          <w:sz w:val="20"/>
          <w:szCs w:val="20"/>
        </w:rPr>
        <w:t xml:space="preserve">NHS England Workplace Health and Safety Framework</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Senior Partner / Lead GP</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Overall accountability for health and safety; ensuring adequate resources; reviewing policy annually; appointing competent person(s); reporting to partners on H&amp;S performance.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Day-to-day management of H&amp;S; maintaining risk assessments; coordinating training; managing incident reporting; liaising with HSE and CQC; managing contractors; ensuring premises compliance.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Health &amp; Safety Lead / Competent Person</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Advising on H&amp;S matters; conducting and reviewing risk assessments; monitoring compliance; investigating incidents; maintaining H&amp;S documentation; supporting audits.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Employees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Taking reasonable care of their own and others’ health and safety; cooperating with management on H&amp;S matters; reporting hazards, incidents, and near-misses; attending mandatory training; using equipment and PPE as instructed.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Fire Wardens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Conducting fire drills; checking escape routes; assisting evacuation; reporting fire safety concerns to the Practice Manager.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First Aiders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Providing first aid treatment; maintaining first aid supplies; recording all first aid incidents; keeping qualifications current.</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General Arrangements</w:t>
      </w:r>
    </w:p>
    <w:p>
      <w:pPr>
        <w:spacing w:after="80" w:before="60"/>
        <w:jc w:val="both"/>
      </w:pPr>
      <w:r>
        <w:rPr>
          <w:rFonts w:ascii="Arial" w:cs="Arial" w:eastAsia="Arial" w:hAnsi="Arial"/>
          <w:color w:val="2D2D2D"/>
          <w:sz w:val="21"/>
          <w:szCs w:val="21"/>
        </w:rPr>
        <w:t xml:space="preserve">The practice shall maintain a written health and safety management system comprising this policy, supporting risk assessments, safe systems of work, and emergency procedures. The system shall be communicated to all staff and be available for inspection by regulatory bodies including the CQC and HSE.</w:t>
      </w:r>
    </w:p>
    <w:p>
      <w:pPr>
        <w:spacing w:after="80" w:before="60"/>
        <w:jc w:val="both"/>
      </w:pPr>
      <w:r>
        <w:rPr>
          <w:rFonts w:ascii="Arial" w:cs="Arial" w:eastAsia="Arial" w:hAnsi="Arial"/>
          <w:color w:val="2D2D2D"/>
          <w:sz w:val="21"/>
          <w:szCs w:val="21"/>
        </w:rPr>
        <w:t xml:space="preserve">A current copy of the Employers’ Liability insurance certificate shall be displayed prominently on the premises or made accessible electronically to all employees, as required by the Employers’ Liability (Compulsory Insurance) Act 1969.</w:t>
      </w:r>
    </w:p>
    <w:p>
      <w:pPr>
        <w:spacing w:after="80" w:before="60"/>
        <w:jc w:val="both"/>
      </w:pPr>
      <w:r>
        <w:rPr>
          <w:rFonts w:ascii="Arial" w:cs="Arial" w:eastAsia="Arial" w:hAnsi="Arial"/>
          <w:color w:val="2D2D2D"/>
          <w:sz w:val="21"/>
          <w:szCs w:val="21"/>
        </w:rPr>
        <w:t xml:space="preserve">The approved poster ‘Health and Safety Law – What You Need to Know’ shall be displayed in a conspicuous position accessible to all employees, or equivalent leaflets shall be issued to each employee, in accordance with the Health and Safety Information for Employees Regulations 1989.</w:t>
      </w:r>
    </w:p>
    <w:p>
      <w:pPr>
        <w:pStyle w:val="Heading2"/>
        <w:spacing w:after="80" w:before="240"/>
      </w:pPr>
      <w:r>
        <w:rPr>
          <w:rFonts w:ascii="Arial" w:cs="Arial" w:eastAsia="Arial" w:hAnsi="Arial"/>
          <w:b/>
          <w:bCs/>
          <w:color w:val="0B1D3A"/>
          <w:sz w:val="24"/>
          <w:szCs w:val="24"/>
        </w:rPr>
        <w:t xml:space="preserve">7.2 Risk Assessment</w:t>
      </w:r>
    </w:p>
    <w:p>
      <w:pPr>
        <w:spacing w:after="80" w:before="60"/>
        <w:jc w:val="both"/>
      </w:pPr>
      <w:r>
        <w:rPr>
          <w:rFonts w:ascii="Arial" w:cs="Arial" w:eastAsia="Arial" w:hAnsi="Arial"/>
          <w:color w:val="2D2D2D"/>
          <w:sz w:val="21"/>
          <w:szCs w:val="21"/>
        </w:rPr>
        <w:t xml:space="preserve">The practice shall conduct suitable and sufficient risk assessments for all significant hazards, in compliance with Regulation 3 of the Management of Health and Safety at Work Regulations 1999. Risk assessments shall be recorded in writing (the practice employs five or more persons) and shall be reviewed at least annually, or sooner following a significant change, incident, or legislative update.</w:t>
      </w:r>
    </w:p>
    <w:p>
      <w:pPr>
        <w:spacing w:after="80" w:before="60"/>
        <w:jc w:val="both"/>
      </w:pPr>
      <w:r>
        <w:rPr>
          <w:rFonts w:ascii="Arial" w:cs="Arial" w:eastAsia="Arial" w:hAnsi="Arial"/>
          <w:color w:val="2D2D2D"/>
          <w:sz w:val="21"/>
          <w:szCs w:val="21"/>
        </w:rPr>
        <w:t xml:space="preserve">Risk assessments shall follow the five-step HSE methodology: (1) identify hazards; (2) decide who might be harmed and how; (3) evaluate the risks and decide on precautions; (4) record findings and implement actions; (5) review and update.</w:t>
      </w:r>
    </w:p>
    <w:p>
      <w:pPr>
        <w:spacing w:after="80" w:before="60"/>
        <w:jc w:val="both"/>
      </w:pPr>
      <w:r>
        <w:rPr>
          <w:rFonts w:ascii="Arial" w:cs="Arial" w:eastAsia="Arial" w:hAnsi="Arial"/>
          <w:color w:val="2D2D2D"/>
          <w:sz w:val="21"/>
          <w:szCs w:val="21"/>
        </w:rPr>
        <w:t xml:space="preserve">Specific risk assessments shall be maintained for, but not limited to: fire safety, infection prevention and control, manual handling, COSHH, display screen equipment, lone working, workplace violence, medicines management, and any other activity presenting a significant risk.</w:t>
      </w:r>
    </w:p>
    <w:p>
      <w:pPr>
        <w:pStyle w:val="Heading2"/>
        <w:spacing w:after="80" w:before="240"/>
      </w:pPr>
      <w:r>
        <w:rPr>
          <w:rFonts w:ascii="Arial" w:cs="Arial" w:eastAsia="Arial" w:hAnsi="Arial"/>
          <w:b/>
          <w:bCs/>
          <w:color w:val="0B1D3A"/>
          <w:sz w:val="24"/>
          <w:szCs w:val="24"/>
        </w:rPr>
        <w:t xml:space="preserve">7.3 Incident Reporting and Investigation</w:t>
      </w:r>
    </w:p>
    <w:p>
      <w:pPr>
        <w:spacing w:after="80" w:before="60"/>
        <w:jc w:val="both"/>
      </w:pPr>
      <w:r>
        <w:rPr>
          <w:rFonts w:ascii="Arial" w:cs="Arial" w:eastAsia="Arial" w:hAnsi="Arial"/>
          <w:color w:val="2D2D2D"/>
          <w:sz w:val="21"/>
          <w:szCs w:val="21"/>
        </w:rPr>
        <w:t xml:space="preserve">All accidents, incidents, near-misses, and dangerous occurrences shall be reported without delay using the practice’s incident reporting system. The Practice Manager shall investigate all reported incidents to identify root causes and implement corrective actions.</w:t>
      </w:r>
    </w:p>
    <w:p>
      <w:pPr>
        <w:spacing w:after="80" w:before="60"/>
        <w:jc w:val="both"/>
      </w:pPr>
      <w:r>
        <w:rPr>
          <w:rFonts w:ascii="Arial" w:cs="Arial" w:eastAsia="Arial" w:hAnsi="Arial"/>
          <w:color w:val="2D2D2D"/>
          <w:sz w:val="21"/>
          <w:szCs w:val="21"/>
        </w:rPr>
        <w:t xml:space="preserve">Incidents reportable under RIDDOR (deaths, specified injuries, over-seven-day incapacitation, occupational diseases, and dangerous occurrences) shall be reported to the Health and Safety Executive within the statutory timeframes: without delay for fatalities and specified injuries; within 15 days for over-seven-day injuries; and within 10 days for occupational diseases.</w:t>
      </w:r>
    </w:p>
    <w:p>
      <w:pPr>
        <w:spacing w:after="80" w:before="60"/>
        <w:jc w:val="both"/>
      </w:pPr>
      <w:r>
        <w:rPr>
          <w:rFonts w:ascii="Arial" w:cs="Arial" w:eastAsia="Arial" w:hAnsi="Arial"/>
          <w:color w:val="2D2D2D"/>
          <w:sz w:val="21"/>
          <w:szCs w:val="21"/>
        </w:rPr>
        <w:t xml:space="preserve">An incident log shall be maintained and reviewed quarterly by the Practice Manager and Health &amp; Safety Lead to identify trends and inform preventive actions.</w:t>
      </w:r>
    </w:p>
    <w:p>
      <w:pPr>
        <w:pStyle w:val="Heading2"/>
        <w:spacing w:after="80" w:before="240"/>
      </w:pPr>
      <w:r>
        <w:rPr>
          <w:rFonts w:ascii="Arial" w:cs="Arial" w:eastAsia="Arial" w:hAnsi="Arial"/>
          <w:b/>
          <w:bCs/>
          <w:color w:val="0B1D3A"/>
          <w:sz w:val="24"/>
          <w:szCs w:val="24"/>
        </w:rPr>
        <w:t xml:space="preserve">7.4 Consultation with Employees</w:t>
      </w:r>
    </w:p>
    <w:p>
      <w:pPr>
        <w:spacing w:after="80" w:before="60"/>
        <w:jc w:val="both"/>
      </w:pPr>
      <w:r>
        <w:rPr>
          <w:rFonts w:ascii="Arial" w:cs="Arial" w:eastAsia="Arial" w:hAnsi="Arial"/>
          <w:color w:val="2D2D2D"/>
          <w:sz w:val="21"/>
          <w:szCs w:val="21"/>
        </w:rPr>
        <w:t xml:space="preserve">The practice shall consult with employees on matters affecting their health and safety, in compliance with the Health and Safety (Consultation with Employees) Regulations 1996. Consultation shall include: the introduction of any measure substantially affecting health and safety; arrangements for appointing competent persons; health and safety information and training; and the planning and organisation of any changes to the workplace.</w:t>
      </w:r>
    </w:p>
    <w:p>
      <w:pPr>
        <w:spacing w:after="80" w:before="60"/>
        <w:jc w:val="both"/>
      </w:pPr>
      <w:r>
        <w:rPr>
          <w:rFonts w:ascii="Arial" w:cs="Arial" w:eastAsia="Arial" w:hAnsi="Arial"/>
          <w:color w:val="2D2D2D"/>
          <w:sz w:val="21"/>
          <w:szCs w:val="21"/>
        </w:rPr>
        <w:t xml:space="preserve">Health and safety shall be a standing agenda item at practice team meetings held at least quarterly. Staff shall be encouraged to raise health and safety concerns without fear of detriment.</w:t>
      </w:r>
    </w:p>
    <w:p>
      <w:pPr>
        <w:pStyle w:val="Heading2"/>
        <w:spacing w:after="80" w:before="240"/>
      </w:pPr>
      <w:r>
        <w:rPr>
          <w:rFonts w:ascii="Arial" w:cs="Arial" w:eastAsia="Arial" w:hAnsi="Arial"/>
          <w:b/>
          <w:bCs/>
          <w:color w:val="0B1D3A"/>
          <w:sz w:val="24"/>
          <w:szCs w:val="24"/>
        </w:rPr>
        <w:t xml:space="preserve">7.5 Emergency Procedures</w:t>
      </w:r>
    </w:p>
    <w:p>
      <w:pPr>
        <w:spacing w:after="80" w:before="60"/>
        <w:jc w:val="both"/>
      </w:pPr>
      <w:r>
        <w:rPr>
          <w:rFonts w:ascii="Arial" w:cs="Arial" w:eastAsia="Arial" w:hAnsi="Arial"/>
          <w:color w:val="2D2D2D"/>
          <w:sz w:val="21"/>
          <w:szCs w:val="21"/>
        </w:rPr>
        <w:t xml:space="preserve">The practice shall establish and maintain documented emergency procedures for fire, medical emergencies, security incidents (including lockdown), utility failure, and severe weather events. Procedures shall be communicated to all staff at induction and reinforced through regular drills.</w:t>
      </w:r>
    </w:p>
    <w:p>
      <w:pPr>
        <w:spacing w:after="80" w:before="60"/>
        <w:jc w:val="both"/>
      </w:pPr>
      <w:r>
        <w:rPr>
          <w:rFonts w:ascii="Arial" w:cs="Arial" w:eastAsia="Arial" w:hAnsi="Arial"/>
          <w:color w:val="2D2D2D"/>
          <w:sz w:val="21"/>
          <w:szCs w:val="21"/>
        </w:rPr>
        <w:t xml:space="preserve">Fire evacuation drills shall be conducted at least six-monthly and documented, including date, time to evacuate, and any issues identified. Personal Emergency Evacuation Plans (PEEPs) shall be maintained for any persons with disabilities or mobility impairments who regularly attend the premises.</w:t>
      </w:r>
    </w:p>
    <w:p>
      <w:pPr>
        <w:pStyle w:val="Heading2"/>
        <w:spacing w:after="80" w:before="240"/>
      </w:pPr>
      <w:r>
        <w:rPr>
          <w:rFonts w:ascii="Arial" w:cs="Arial" w:eastAsia="Arial" w:hAnsi="Arial"/>
          <w:b/>
          <w:bCs/>
          <w:color w:val="0B1D3A"/>
          <w:sz w:val="24"/>
          <w:szCs w:val="24"/>
        </w:rPr>
        <w:t xml:space="preserve">7.6 Premises and Equipment</w:t>
      </w:r>
    </w:p>
    <w:p>
      <w:pPr>
        <w:spacing w:after="80" w:before="60"/>
        <w:jc w:val="both"/>
      </w:pPr>
      <w:r>
        <w:rPr>
          <w:rFonts w:ascii="Arial" w:cs="Arial" w:eastAsia="Arial" w:hAnsi="Arial"/>
          <w:color w:val="2D2D2D"/>
          <w:sz w:val="21"/>
          <w:szCs w:val="21"/>
        </w:rPr>
        <w:t xml:space="preserve">The practice premises shall be maintained in a condition that ensures the health, safety, and welfare of all occupants, in compliance with the Workplace (Health, Safety and Welfare) Regulations 1992 and CQC Regulation 15 (Premises and Equipment).</w:t>
      </w:r>
    </w:p>
    <w:p>
      <w:pPr>
        <w:spacing w:after="80" w:before="60"/>
        <w:jc w:val="both"/>
      </w:pPr>
      <w:r>
        <w:rPr>
          <w:rFonts w:ascii="Arial" w:cs="Arial" w:eastAsia="Arial" w:hAnsi="Arial"/>
          <w:color w:val="2D2D2D"/>
          <w:sz w:val="21"/>
          <w:szCs w:val="21"/>
        </w:rPr>
        <w:t xml:space="preserve">All work equipment shall be maintained in an efficient state, in efficient working order, and in good repair, as required by the Provision and Use of Work Equipment Regulations 1998 (PUWER). Planned preventive maintenance schedules shall be established for all critical equipment.</w:t>
      </w:r>
    </w:p>
    <w:p>
      <w:pPr>
        <w:spacing w:after="80" w:before="60"/>
        <w:jc w:val="both"/>
      </w:pPr>
      <w:r>
        <w:rPr>
          <w:rFonts w:ascii="Arial" w:cs="Arial" w:eastAsia="Arial" w:hAnsi="Arial"/>
          <w:color w:val="2D2D2D"/>
          <w:sz w:val="21"/>
          <w:szCs w:val="21"/>
        </w:rPr>
        <w:t xml:space="preserve">Electrical installations shall be inspected and tested in accordance with BS 7671 (IET Wiring Regulations) at intervals not exceeding five years (Electrical Installation Condition Report). Portable appliances shall be subject to PAT testing at frequencies determined by risk assessment.</w:t>
      </w:r>
    </w:p>
    <w:p>
      <w:pPr>
        <w:pStyle w:val="Heading2"/>
        <w:spacing w:after="80" w:before="240"/>
      </w:pPr>
      <w:r>
        <w:rPr>
          <w:rFonts w:ascii="Arial" w:cs="Arial" w:eastAsia="Arial" w:hAnsi="Arial"/>
          <w:b/>
          <w:bCs/>
          <w:color w:val="0B1D3A"/>
          <w:sz w:val="24"/>
          <w:szCs w:val="24"/>
        </w:rPr>
        <w:t xml:space="preserve">7.7 Health Surveillance and Occupational Health</w:t>
      </w:r>
    </w:p>
    <w:p>
      <w:pPr>
        <w:spacing w:after="80" w:before="60"/>
        <w:jc w:val="both"/>
      </w:pPr>
      <w:r>
        <w:rPr>
          <w:rFonts w:ascii="Arial" w:cs="Arial" w:eastAsia="Arial" w:hAnsi="Arial"/>
          <w:color w:val="2D2D2D"/>
          <w:sz w:val="21"/>
          <w:szCs w:val="21"/>
        </w:rPr>
        <w:t xml:space="preserve">Where risk assessments identify a need for health surveillance (e.g. exposure to latex, respiratory sensitisers, or blood-borne viruses), the practice shall arrange appropriate surveillance in accordance with Regulation 6 of the Management Regulations 1999 and relevant COSHH requirements.</w:t>
      </w:r>
    </w:p>
    <w:p>
      <w:pPr>
        <w:spacing w:after="80" w:before="60"/>
        <w:jc w:val="both"/>
      </w:pPr>
      <w:r>
        <w:rPr>
          <w:rFonts w:ascii="Arial" w:cs="Arial" w:eastAsia="Arial" w:hAnsi="Arial"/>
          <w:color w:val="2D2D2D"/>
          <w:sz w:val="21"/>
          <w:szCs w:val="21"/>
        </w:rPr>
        <w:t xml:space="preserve">Occupational health support shall be available to all staff, including pre-employment health screening, immunisation programmes (including hepatitis B for at-risk staff), and referral for work-related health conditions.</w:t>
      </w:r>
    </w:p>
    <w:p>
      <w:pPr>
        <w:pStyle w:val="Heading2"/>
        <w:spacing w:after="80" w:before="240"/>
      </w:pPr>
      <w:r>
        <w:rPr>
          <w:rFonts w:ascii="Arial" w:cs="Arial" w:eastAsia="Arial" w:hAnsi="Arial"/>
          <w:b/>
          <w:bCs/>
          <w:color w:val="0B1D3A"/>
          <w:sz w:val="24"/>
          <w:szCs w:val="24"/>
        </w:rPr>
        <w:t xml:space="preserve">7.8 Contractors and Visitors</w:t>
      </w:r>
    </w:p>
    <w:p>
      <w:pPr>
        <w:spacing w:after="80" w:before="60"/>
        <w:jc w:val="both"/>
      </w:pPr>
      <w:r>
        <w:rPr>
          <w:rFonts w:ascii="Arial" w:cs="Arial" w:eastAsia="Arial" w:hAnsi="Arial"/>
          <w:color w:val="2D2D2D"/>
          <w:sz w:val="21"/>
          <w:szCs w:val="21"/>
        </w:rPr>
        <w:t xml:space="preserve">All contractors working on the premises shall provide evidence of adequate insurance, competence, and risk assessments before commencing work. Contractors shall be briefed on relevant practice procedures, including fire evacuation routes and asbestos-containing materials (where applicable).</w:t>
      </w:r>
    </w:p>
    <w:p>
      <w:pPr>
        <w:spacing w:after="80" w:before="60"/>
        <w:jc w:val="both"/>
      </w:pPr>
      <w:r>
        <w:rPr>
          <w:rFonts w:ascii="Arial" w:cs="Arial" w:eastAsia="Arial" w:hAnsi="Arial"/>
          <w:color w:val="2D2D2D"/>
          <w:sz w:val="21"/>
          <w:szCs w:val="21"/>
        </w:rPr>
        <w:t xml:space="preserve">A contractor sign-in and permit-to-work system shall be operated for any works affecting building services, fire safety systems, or presenting significant hazard (hot works, roof access, confined space entry).</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new staff shall receive a health and safety induction within their first week of employment, covering: fire procedures and escape routes, incident reporting, first aid arrangements, key hazards and controls, and their individual responsibilities under the Health and Safety at Work etc. Act 1974.</w:t>
      </w:r>
    </w:p>
    <w:p>
      <w:pPr>
        <w:pStyle w:val="ListParagraph"/>
        <w:numPr>
          <w:ilvl w:val="0"/>
          <w:numId w:val="2"/>
        </w:numPr>
        <w:spacing w:after="40" w:before="40"/>
      </w:pPr>
      <w:r>
        <w:rPr>
          <w:rFonts w:ascii="Arial" w:cs="Arial" w:eastAsia="Arial" w:hAnsi="Arial"/>
          <w:color w:val="2D2D2D"/>
          <w:sz w:val="20"/>
          <w:szCs w:val="20"/>
        </w:rPr>
        <w:t xml:space="preserve">Mandatory health and safety training shall be completed annually by all staff and shall include, as a minimum: fire safety awareness, manual handling, infection prevention and control, and safeguarding.</w:t>
      </w:r>
    </w:p>
    <w:p>
      <w:pPr>
        <w:pStyle w:val="ListParagraph"/>
        <w:numPr>
          <w:ilvl w:val="0"/>
          <w:numId w:val="2"/>
        </w:numPr>
        <w:spacing w:after="40" w:before="40"/>
      </w:pPr>
      <w:r>
        <w:rPr>
          <w:rFonts w:ascii="Arial" w:cs="Arial" w:eastAsia="Arial" w:hAnsi="Arial"/>
          <w:color w:val="2D2D2D"/>
          <w:sz w:val="20"/>
          <w:szCs w:val="20"/>
        </w:rPr>
        <w:t xml:space="preserve">Role-specific training shall be provided as identified by risk assessment, including: COSHH awareness, DSE assessment, conflict resolution, lone working safety, medicines management, and clinical waste handling.</w:t>
      </w:r>
    </w:p>
    <w:p>
      <w:pPr>
        <w:pStyle w:val="ListParagraph"/>
        <w:numPr>
          <w:ilvl w:val="0"/>
          <w:numId w:val="2"/>
        </w:numPr>
        <w:spacing w:after="40" w:before="40"/>
      </w:pPr>
      <w:r>
        <w:rPr>
          <w:rFonts w:ascii="Arial" w:cs="Arial" w:eastAsia="Arial" w:hAnsi="Arial"/>
          <w:color w:val="2D2D2D"/>
          <w:sz w:val="20"/>
          <w:szCs w:val="20"/>
        </w:rPr>
        <w:t xml:space="preserve">A training matrix shall be maintained by the Practice Manager to record all health and safety training, expiry dates, and refresher requirements. Training compliance shall be reported to the partners at least annually.</w:t>
      </w:r>
    </w:p>
    <w:p>
      <w:pPr>
        <w:pStyle w:val="ListParagraph"/>
        <w:numPr>
          <w:ilvl w:val="0"/>
          <w:numId w:val="2"/>
        </w:numPr>
        <w:spacing w:after="40" w:before="40"/>
      </w:pPr>
      <w:r>
        <w:rPr>
          <w:rFonts w:ascii="Arial" w:cs="Arial" w:eastAsia="Arial" w:hAnsi="Arial"/>
          <w:color w:val="2D2D2D"/>
          <w:sz w:val="20"/>
          <w:szCs w:val="20"/>
        </w:rPr>
        <w:t xml:space="preserve">Training records shall be retained for the duration of employment plus three years, in line with HSE guidance.</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Health &amp; Safety risk assessment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 (minimum)</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H&amp;S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Workplace inspection / walk-round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H&amp;S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drill and evacuation exercise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Warden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Incident and near-miss trend analysis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Training matrix compliance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Staff health and safety consultation meeting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policy review and update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CQC regulatory compliance self-assessment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Registered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BS-RA-IPC-001 Infection Prevention and Control Risk Assessment</w:t>
      </w:r>
    </w:p>
    <w:p>
      <w:pPr>
        <w:pStyle w:val="ListParagraph"/>
        <w:numPr>
          <w:ilvl w:val="0"/>
          <w:numId w:val="2"/>
        </w:numPr>
        <w:spacing w:after="40" w:before="40"/>
      </w:pPr>
      <w:r>
        <w:rPr>
          <w:rFonts w:ascii="Arial" w:cs="Arial" w:eastAsia="Arial" w:hAnsi="Arial"/>
          <w:color w:val="2D2D2D"/>
          <w:sz w:val="20"/>
          <w:szCs w:val="20"/>
        </w:rPr>
        <w:t xml:space="preserve">BS-RA-FS-003 Fire Safety Risk Assessment</w:t>
      </w:r>
    </w:p>
    <w:p>
      <w:pPr>
        <w:pStyle w:val="ListParagraph"/>
        <w:numPr>
          <w:ilvl w:val="0"/>
          <w:numId w:val="2"/>
        </w:numPr>
        <w:spacing w:after="40" w:before="40"/>
      </w:pPr>
      <w:r>
        <w:rPr>
          <w:rFonts w:ascii="Arial" w:cs="Arial" w:eastAsia="Arial" w:hAnsi="Arial"/>
          <w:color w:val="2D2D2D"/>
          <w:sz w:val="20"/>
          <w:szCs w:val="20"/>
        </w:rPr>
        <w:t xml:space="preserve">BS-RA-MH-004 Manual Handling Risk Assessment</w:t>
      </w:r>
    </w:p>
    <w:p>
      <w:pPr>
        <w:pStyle w:val="ListParagraph"/>
        <w:numPr>
          <w:ilvl w:val="0"/>
          <w:numId w:val="2"/>
        </w:numPr>
        <w:spacing w:after="40" w:before="40"/>
      </w:pPr>
      <w:r>
        <w:rPr>
          <w:rFonts w:ascii="Arial" w:cs="Arial" w:eastAsia="Arial" w:hAnsi="Arial"/>
          <w:color w:val="2D2D2D"/>
          <w:sz w:val="20"/>
          <w:szCs w:val="20"/>
        </w:rPr>
        <w:t xml:space="preserve">BS-RA-COSHH-008 COSHH Risk Assessment</w:t>
      </w:r>
    </w:p>
    <w:p>
      <w:pPr>
        <w:pStyle w:val="ListParagraph"/>
        <w:numPr>
          <w:ilvl w:val="0"/>
          <w:numId w:val="2"/>
        </w:numPr>
        <w:spacing w:after="40" w:before="40"/>
      </w:pPr>
      <w:r>
        <w:rPr>
          <w:rFonts w:ascii="Arial" w:cs="Arial" w:eastAsia="Arial" w:hAnsi="Arial"/>
          <w:color w:val="2D2D2D"/>
          <w:sz w:val="20"/>
          <w:szCs w:val="20"/>
        </w:rPr>
        <w:t xml:space="preserve">BS-POL-LW-006 Lone Working Policy</w:t>
      </w:r>
    </w:p>
    <w:p>
      <w:pPr>
        <w:pStyle w:val="ListParagraph"/>
        <w:numPr>
          <w:ilvl w:val="0"/>
          <w:numId w:val="2"/>
        </w:numPr>
        <w:spacing w:after="40" w:before="40"/>
      </w:pPr>
      <w:r>
        <w:rPr>
          <w:rFonts w:ascii="Arial" w:cs="Arial" w:eastAsia="Arial" w:hAnsi="Arial"/>
          <w:color w:val="2D2D2D"/>
          <w:sz w:val="20"/>
          <w:szCs w:val="20"/>
        </w:rPr>
        <w:t xml:space="preserve">BS-POL-FS-003 Fire Safety Policy</w:t>
      </w:r>
    </w:p>
    <w:p>
      <w:pPr>
        <w:pStyle w:val="ListParagraph"/>
        <w:numPr>
          <w:ilvl w:val="0"/>
          <w:numId w:val="2"/>
        </w:numPr>
        <w:spacing w:after="40" w:before="40"/>
      </w:pPr>
      <w:r>
        <w:rPr>
          <w:rFonts w:ascii="Arial" w:cs="Arial" w:eastAsia="Arial" w:hAnsi="Arial"/>
          <w:color w:val="2D2D2D"/>
          <w:sz w:val="20"/>
          <w:szCs w:val="20"/>
        </w:rPr>
        <w:t xml:space="preserve">Practice Business Continuity Plan</w:t>
      </w:r>
    </w:p>
    <w:p>
      <w:pPr>
        <w:pStyle w:val="ListParagraph"/>
        <w:numPr>
          <w:ilvl w:val="0"/>
          <w:numId w:val="2"/>
        </w:numPr>
        <w:spacing w:after="40" w:before="40"/>
      </w:pPr>
      <w:r>
        <w:rPr>
          <w:rFonts w:ascii="Arial" w:cs="Arial" w:eastAsia="Arial" w:hAnsi="Arial"/>
          <w:color w:val="2D2D2D"/>
          <w:sz w:val="20"/>
          <w:szCs w:val="20"/>
        </w:rPr>
        <w:t xml:space="preserve">Practice Complaints Policy</w:t>
      </w:r>
    </w:p>
    <w:p>
      <w:pPr>
        <w:pStyle w:val="ListParagraph"/>
        <w:numPr>
          <w:ilvl w:val="0"/>
          <w:numId w:val="2"/>
        </w:numPr>
        <w:spacing w:after="40" w:before="40"/>
      </w:pPr>
      <w:r>
        <w:rPr>
          <w:rFonts w:ascii="Arial" w:cs="Arial" w:eastAsia="Arial" w:hAnsi="Arial"/>
          <w:color w:val="2D2D2D"/>
          <w:sz w:val="20"/>
          <w:szCs w:val="20"/>
        </w:rPr>
        <w:t xml:space="preserve">Practice Equality and Diversity Policy</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Practice Manager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BS-POL-HS-001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BS-POL-HS-001  |  Health and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2026-05-15T12:48:43.160Z</dcterms:created>
  <dcterms:modified xsi:type="dcterms:W3CDTF">2026-05-15T12:48:43.180Z</dcterms:modified>
</cp:coreProperties>
</file>

<file path=docProps/custom.xml><?xml version="1.0" encoding="utf-8"?>
<Properties xmlns="http://schemas.openxmlformats.org/officeDocument/2006/custom-properties" xmlns:vt="http://schemas.openxmlformats.org/officeDocument/2006/docPropsVTypes"/>
</file>