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40"/>
        <w:jc w:val="center"/>
      </w:pPr>
      <w:r>
        <w:rPr>
          <w:rFonts w:ascii="Arial" w:cs="Arial" w:eastAsia="Arial" w:hAnsi="Arial"/>
          <w:b/>
          <w:bCs/>
          <w:caps/>
          <w:color w:val="D4AF37"/>
          <w:sz w:val="22"/>
          <w:szCs w:val="22"/>
        </w:rPr>
        <w:t xml:space="preserve">GP PRACTICE POLICY</w:t>
      </w:r>
    </w:p>
    <w:p>
      <w:pPr>
        <w:spacing w:after="20"/>
        <w:jc w:val="center"/>
      </w:pPr>
      <w:r>
        <w:rPr>
          <w:rFonts w:ascii="Arial" w:cs="Arial" w:eastAsia="Arial" w:hAnsi="Arial"/>
          <w:b/>
          <w:bCs/>
          <w:color w:val="0B1D3A"/>
          <w:sz w:val="40"/>
          <w:szCs w:val="40"/>
        </w:rPr>
        <w:t xml:space="preserve">INFECTION PREVENTION AND CONTROL</w:t>
      </w:r>
    </w:p>
    <w:p>
      <w:pPr>
        <w:spacing w:after="20"/>
        <w:jc w:val="center"/>
      </w:pPr>
      <w:r>
        <w:rPr>
          <w:rFonts w:ascii="Arial" w:cs="Arial" w:eastAsia="Arial" w:hAnsi="Arial"/>
          <w:i/>
          <w:iCs/>
          <w:color w:val="6B7280"/>
          <w:sz w:val="22"/>
          <w:szCs w:val="22"/>
        </w:rPr>
        <w:t xml:space="preserve">Standards for preventing and controlling healthcare-associated infections in general practice</w:t>
      </w:r>
    </w:p>
    <w:p>
      <w:pPr>
        <w:pBdr>
          <w:bottom w:val="single" w:color="D4AF37" w:sz="8" w:space="1"/>
        </w:pBdr>
        <w:spacing w:after="160" w:before="1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Policy Reference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BS-POL-IPC-002</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1.0</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 Issued</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Approved By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 [Insert Job Title]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Review Date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 – 12 months]</w:t>
            </w:r>
          </w:p>
        </w:tc>
      </w:tr>
      <w:tr>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Practice Name</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Practice Name]</w:t>
            </w:r>
          </w:p>
        </w:tc>
        <w:tc>
          <w:tcPr>
            <w:tcW w:type="dxa" w:w="2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Confidentiality</w:t>
            </w:r>
          </w:p>
        </w:tc>
        <w:tc>
          <w:tcPr>
            <w:tcW w:type="dxa" w:w="2353"/>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0B1D3A"/>
                <w:sz w:val="19"/>
                <w:szCs w:val="19"/>
              </w:rPr>
              <w:t xml:space="preserve">Internal Use Only</w:t>
            </w:r>
          </w:p>
        </w:tc>
      </w:tr>
    </w:tbl>
    <w:p>
      <w:pPr>
        <w:spacing w:before="200"/>
      </w:pPr>
    </w:p>
    <w:p>
      <w:pPr>
        <w:spacing w:after="120" w:before="200"/>
      </w:pPr>
      <w:r>
        <w:rPr>
          <w:rFonts w:ascii="Arial" w:cs="Arial" w:eastAsia="Arial" w:hAnsi="Arial"/>
          <w:b/>
          <w:bCs/>
          <w:color w:val="0B1D3A"/>
          <w:sz w:val="26"/>
          <w:szCs w:val="26"/>
        </w:rPr>
        <w:t xml:space="preserve">CONTENTS</w:t>
      </w:r>
    </w:p>
    <w:p>
      <w:pPr>
        <w:pBdr>
          <w:bottom w:val="single" w:color="D4AF37" w:sz="3" w:space="1"/>
        </w:pBdr>
        <w:spacing w:after="80" w:before="8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60"/>
      </w:pPr>
      <w:r>
        <w:rPr>
          <w:rFonts w:ascii="Arial" w:cs="Arial" w:eastAsia="Arial" w:hAnsi="Arial"/>
          <w:b/>
          <w:bCs/>
          <w:color w:val="0B1D3A"/>
          <w:sz w:val="28"/>
          <w:szCs w:val="28"/>
        </w:rPr>
        <w:t xml:space="preserve">1. Policy Statement</w:t>
      </w:r>
    </w:p>
    <w:p>
      <w:pPr>
        <w:spacing w:after="80" w:before="60"/>
        <w:jc w:val="both"/>
      </w:pPr>
      <w:r>
        <w:rPr>
          <w:rFonts w:ascii="Arial" w:cs="Arial" w:eastAsia="Arial" w:hAnsi="Arial"/>
          <w:color w:val="2D2D2D"/>
          <w:sz w:val="21"/>
          <w:szCs w:val="21"/>
        </w:rPr>
        <w:t xml:space="preserve">The practice is committed to preventing and controlling healthcare-associated infections (HCAIs) in order to protect patients, staff, visitors, and the wider community. The practice will comply with the Health and Social Care Act 2008 Code of Practice on the Prevention and Control of Infections (the ‘Hygiene Code’) and will implement evidence-based infection prevention and control (IPC) measures as a fundamental component of safe clinical care.</w:t>
      </w:r>
    </w:p>
    <w:p>
      <w:pPr>
        <w:pStyle w:val="Heading1"/>
        <w:spacing w:after="120" w:before="360"/>
      </w:pPr>
      <w:r>
        <w:rPr>
          <w:rFonts w:ascii="Arial" w:cs="Arial" w:eastAsia="Arial" w:hAnsi="Arial"/>
          <w:b/>
          <w:bCs/>
          <w:color w:val="0B1D3A"/>
          <w:sz w:val="28"/>
          <w:szCs w:val="28"/>
        </w:rPr>
        <w:t xml:space="preserve">2. Purpose</w:t>
      </w:r>
    </w:p>
    <w:p>
      <w:pPr>
        <w:spacing w:after="80" w:before="60"/>
        <w:jc w:val="both"/>
      </w:pPr>
      <w:r>
        <w:rPr>
          <w:rFonts w:ascii="Arial" w:cs="Arial" w:eastAsia="Arial" w:hAnsi="Arial"/>
          <w:color w:val="2D2D2D"/>
          <w:sz w:val="21"/>
          <w:szCs w:val="21"/>
        </w:rPr>
        <w:t xml:space="preserve">This policy establishes the practice’s approach to infection prevention and control, sets out the standards to be met, and defines the roles and responsibilities for ensuring compliance with statutory and regulatory requirements.</w:t>
      </w:r>
    </w:p>
    <w:p>
      <w:pPr>
        <w:spacing w:after="80" w:before="60"/>
        <w:jc w:val="both"/>
      </w:pPr>
      <w:r>
        <w:rPr>
          <w:rFonts w:ascii="Arial" w:cs="Arial" w:eastAsia="Arial" w:hAnsi="Arial"/>
          <w:color w:val="2D2D2D"/>
          <w:sz w:val="21"/>
          <w:szCs w:val="21"/>
        </w:rPr>
        <w:t xml:space="preserve">The policy supports the practice in meeting CQC Regulation 12 (Safe Care and Treatment) and the ten criteria of the Hygiene Code.</w:t>
      </w:r>
    </w:p>
    <w:p>
      <w:pPr>
        <w:pStyle w:val="Heading1"/>
        <w:spacing w:after="120" w:before="360"/>
      </w:pPr>
      <w:r>
        <w:rPr>
          <w:rFonts w:ascii="Arial" w:cs="Arial" w:eastAsia="Arial" w:hAnsi="Arial"/>
          <w:b/>
          <w:bCs/>
          <w:color w:val="0B1D3A"/>
          <w:sz w:val="28"/>
          <w:szCs w:val="28"/>
        </w:rPr>
        <w:t xml:space="preserve">3. Scope</w:t>
      </w:r>
    </w:p>
    <w:p>
      <w:pPr>
        <w:spacing w:after="80" w:before="60"/>
        <w:jc w:val="both"/>
      </w:pPr>
      <w:r>
        <w:rPr>
          <w:rFonts w:ascii="Arial" w:cs="Arial" w:eastAsia="Arial" w:hAnsi="Arial"/>
          <w:color w:val="2D2D2D"/>
          <w:sz w:val="21"/>
          <w:szCs w:val="21"/>
        </w:rPr>
        <w:t xml:space="preserve">This policy applies to:</w:t>
      </w:r>
    </w:p>
    <w:p>
      <w:pPr>
        <w:pStyle w:val="ListParagraph"/>
        <w:numPr>
          <w:ilvl w:val="0"/>
          <w:numId w:val="2"/>
        </w:numPr>
        <w:spacing w:after="40" w:before="40"/>
      </w:pPr>
      <w:r>
        <w:rPr>
          <w:rFonts w:ascii="Arial" w:cs="Arial" w:eastAsia="Arial" w:hAnsi="Arial"/>
          <w:color w:val="2D2D2D"/>
          <w:sz w:val="20"/>
          <w:szCs w:val="20"/>
        </w:rPr>
        <w:t xml:space="preserve">All clinical and non-clinical areas within the practice premises</w:t>
      </w:r>
    </w:p>
    <w:p>
      <w:pPr>
        <w:pStyle w:val="ListParagraph"/>
        <w:numPr>
          <w:ilvl w:val="0"/>
          <w:numId w:val="2"/>
        </w:numPr>
        <w:spacing w:after="40" w:before="40"/>
      </w:pPr>
      <w:r>
        <w:rPr>
          <w:rFonts w:ascii="Arial" w:cs="Arial" w:eastAsia="Arial" w:hAnsi="Arial"/>
          <w:color w:val="2D2D2D"/>
          <w:sz w:val="20"/>
          <w:szCs w:val="20"/>
        </w:rPr>
        <w:t xml:space="preserve">All staff, locums, trainees, students, volunteers, and visiting healthcare professionals</w:t>
      </w:r>
    </w:p>
    <w:p>
      <w:pPr>
        <w:pStyle w:val="ListParagraph"/>
        <w:numPr>
          <w:ilvl w:val="0"/>
          <w:numId w:val="2"/>
        </w:numPr>
        <w:spacing w:after="40" w:before="40"/>
      </w:pPr>
      <w:r>
        <w:rPr>
          <w:rFonts w:ascii="Arial" w:cs="Arial" w:eastAsia="Arial" w:hAnsi="Arial"/>
          <w:color w:val="2D2D2D"/>
          <w:sz w:val="20"/>
          <w:szCs w:val="20"/>
        </w:rPr>
        <w:t xml:space="preserve">All patient interactions including face-to-face consultations, minor procedures, immunisation, phlebotomy, wound care, and clinical examinations</w:t>
      </w:r>
    </w:p>
    <w:p>
      <w:pPr>
        <w:pStyle w:val="ListParagraph"/>
        <w:numPr>
          <w:ilvl w:val="0"/>
          <w:numId w:val="2"/>
        </w:numPr>
        <w:spacing w:after="40" w:before="40"/>
      </w:pPr>
      <w:r>
        <w:rPr>
          <w:rFonts w:ascii="Arial" w:cs="Arial" w:eastAsia="Arial" w:hAnsi="Arial"/>
          <w:color w:val="2D2D2D"/>
          <w:sz w:val="20"/>
          <w:szCs w:val="20"/>
        </w:rPr>
        <w:t xml:space="preserve">Home visits and any off-site clinical activity conducted under the practice’s registration</w:t>
      </w:r>
    </w:p>
    <w:p>
      <w:pPr>
        <w:pStyle w:val="ListParagraph"/>
        <w:numPr>
          <w:ilvl w:val="0"/>
          <w:numId w:val="2"/>
        </w:numPr>
        <w:spacing w:after="40" w:before="40"/>
      </w:pPr>
      <w:r>
        <w:rPr>
          <w:rFonts w:ascii="Arial" w:cs="Arial" w:eastAsia="Arial" w:hAnsi="Arial"/>
          <w:color w:val="2D2D2D"/>
          <w:sz w:val="20"/>
          <w:szCs w:val="20"/>
        </w:rPr>
        <w:t xml:space="preserve">Cleaning contractors, waste management contractors, and any third parties operating within the practice</w:t>
      </w:r>
    </w:p>
    <w:p>
      <w:pPr>
        <w:pStyle w:val="Heading1"/>
        <w:spacing w:after="120" w:before="360"/>
      </w:pPr>
      <w:r>
        <w:rPr>
          <w:rFonts w:ascii="Arial" w:cs="Arial" w:eastAsia="Arial" w:hAnsi="Arial"/>
          <w:b/>
          <w:bCs/>
          <w:color w:val="0B1D3A"/>
          <w:sz w:val="28"/>
          <w:szCs w:val="28"/>
        </w:rPr>
        <w:t xml:space="preserve">4. Definitions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Term</w:t>
            </w:r>
          </w:p>
        </w:tc>
        <w:tc>
          <w:tcPr>
            <w:tcW w:type="dxa" w:w="65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Definition</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HCAI</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Healthcare-Associated Infection – an infection that develops as a direct result of healthcare intervention, or contact with a healthcare setting.</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SICPs</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Standard Infection Control Precautions – the basic IPC measures to be applied by all staff for all patients at all times (NHS England National IPC Manual 2023).</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PPE</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Personal Protective Equipment – items worn to protect the wearer from health and safety risks, including gloves, aprons, face masks, eye protection, and respirators.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Sharps</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Any item that can cut or puncture the skin, including needles, scalpel blades, lancets, and broken glass from ampoules.</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Decontamination</w:t>
            </w:r>
          </w:p>
        </w:tc>
        <w:tc>
          <w:tcPr>
            <w:tcW w:type="dxa" w:w="65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The combination of processes (cleaning, disinfection, and/or sterilisation) used to make a reusable item safe for further use.</w:t>
            </w:r>
          </w:p>
        </w:tc>
      </w:tr>
    </w:tbl>
    <w:p>
      <w:pPr>
        <w:pStyle w:val="Heading1"/>
        <w:spacing w:after="120" w:before="360"/>
      </w:pPr>
      <w:r>
        <w:rPr>
          <w:rFonts w:ascii="Arial" w:cs="Arial" w:eastAsia="Arial" w:hAnsi="Arial"/>
          <w:b/>
          <w:bCs/>
          <w:color w:val="0B1D3A"/>
          <w:sz w:val="28"/>
          <w:szCs w:val="28"/>
        </w:rPr>
        <w:t xml:space="preserve">5. Legal and Regulatory Framework</w:t>
      </w:r>
    </w:p>
    <w:p>
      <w:pPr>
        <w:spacing w:after="80" w:before="60"/>
        <w:jc w:val="both"/>
      </w:pPr>
      <w:r>
        <w:rPr>
          <w:rFonts w:ascii="Arial" w:cs="Arial" w:eastAsia="Arial" w:hAnsi="Arial"/>
          <w:color w:val="2D2D2D"/>
          <w:sz w:val="21"/>
          <w:szCs w:val="21"/>
        </w:rPr>
        <w:t xml:space="preserve">This policy is underpinned by the following legislation, regulations, and authoritative guidance:</w:t>
      </w:r>
    </w:p>
    <w:p>
      <w:pPr>
        <w:pStyle w:val="ListParagraph"/>
        <w:numPr>
          <w:ilvl w:val="0"/>
          <w:numId w:val="2"/>
        </w:numPr>
        <w:spacing w:after="40" w:before="40"/>
      </w:pPr>
      <w:r>
        <w:rPr>
          <w:rFonts w:ascii="Arial" w:cs="Arial" w:eastAsia="Arial" w:hAnsi="Arial"/>
          <w:color w:val="2D2D2D"/>
          <w:sz w:val="20"/>
          <w:szCs w:val="20"/>
        </w:rPr>
        <w:t xml:space="preserve">Health and Social Care Act 2008 (Regulated Activities) Regulations 2014 (Regulation 12 – Safe Care and Treatment; Regulation 15 – Premises and Equipment)</w:t>
      </w:r>
    </w:p>
    <w:p>
      <w:pPr>
        <w:pStyle w:val="ListParagraph"/>
        <w:numPr>
          <w:ilvl w:val="0"/>
          <w:numId w:val="2"/>
        </w:numPr>
        <w:spacing w:after="40" w:before="40"/>
      </w:pPr>
      <w:r>
        <w:rPr>
          <w:rFonts w:ascii="Arial" w:cs="Arial" w:eastAsia="Arial" w:hAnsi="Arial"/>
          <w:color w:val="2D2D2D"/>
          <w:sz w:val="20"/>
          <w:szCs w:val="20"/>
        </w:rPr>
        <w:t xml:space="preserve">The Health and Social Care Act 2008 Code of Practice on the Prevention and Control of Infections (‘Hygiene Code’) – Department of Health 2015</w:t>
      </w:r>
    </w:p>
    <w:p>
      <w:pPr>
        <w:pStyle w:val="ListParagraph"/>
        <w:numPr>
          <w:ilvl w:val="0"/>
          <w:numId w:val="2"/>
        </w:numPr>
        <w:spacing w:after="40" w:before="40"/>
      </w:pPr>
      <w:r>
        <w:rPr>
          <w:rFonts w:ascii="Arial" w:cs="Arial" w:eastAsia="Arial" w:hAnsi="Arial"/>
          <w:color w:val="2D2D2D"/>
          <w:sz w:val="20"/>
          <w:szCs w:val="20"/>
        </w:rPr>
        <w:t xml:space="preserve">Control of Substances Hazardous to Health Regulations 2002 (COSHH) (as amended)</w:t>
      </w:r>
    </w:p>
    <w:p>
      <w:pPr>
        <w:pStyle w:val="ListParagraph"/>
        <w:numPr>
          <w:ilvl w:val="0"/>
          <w:numId w:val="2"/>
        </w:numPr>
        <w:spacing w:after="40" w:before="40"/>
      </w:pPr>
      <w:r>
        <w:rPr>
          <w:rFonts w:ascii="Arial" w:cs="Arial" w:eastAsia="Arial" w:hAnsi="Arial"/>
          <w:color w:val="2D2D2D"/>
          <w:sz w:val="20"/>
          <w:szCs w:val="20"/>
        </w:rPr>
        <w:t xml:space="preserve">Personal Protective Equipment at Work Regulations 1992 (as amended 2022)</w:t>
      </w:r>
    </w:p>
    <w:p>
      <w:pPr>
        <w:pStyle w:val="ListParagraph"/>
        <w:numPr>
          <w:ilvl w:val="0"/>
          <w:numId w:val="2"/>
        </w:numPr>
        <w:spacing w:after="40" w:before="40"/>
      </w:pPr>
      <w:r>
        <w:rPr>
          <w:rFonts w:ascii="Arial" w:cs="Arial" w:eastAsia="Arial" w:hAnsi="Arial"/>
          <w:color w:val="2D2D2D"/>
          <w:sz w:val="20"/>
          <w:szCs w:val="20"/>
        </w:rPr>
        <w:t xml:space="preserve">Environmental Protection Act 1990 (Duty of Care for Waste)</w:t>
      </w:r>
    </w:p>
    <w:p>
      <w:pPr>
        <w:pStyle w:val="ListParagraph"/>
        <w:numPr>
          <w:ilvl w:val="0"/>
          <w:numId w:val="2"/>
        </w:numPr>
        <w:spacing w:after="40" w:before="40"/>
      </w:pPr>
      <w:r>
        <w:rPr>
          <w:rFonts w:ascii="Arial" w:cs="Arial" w:eastAsia="Arial" w:hAnsi="Arial"/>
          <w:color w:val="2D2D2D"/>
          <w:sz w:val="20"/>
          <w:szCs w:val="20"/>
        </w:rPr>
        <w:t xml:space="preserve">Hazardous Waste (England and Wales) Regulations 2005</w:t>
      </w:r>
    </w:p>
    <w:p>
      <w:pPr>
        <w:pStyle w:val="ListParagraph"/>
        <w:numPr>
          <w:ilvl w:val="0"/>
          <w:numId w:val="2"/>
        </w:numPr>
        <w:spacing w:after="40" w:before="40"/>
      </w:pPr>
      <w:r>
        <w:rPr>
          <w:rFonts w:ascii="Arial" w:cs="Arial" w:eastAsia="Arial" w:hAnsi="Arial"/>
          <w:color w:val="2D2D2D"/>
          <w:sz w:val="20"/>
          <w:szCs w:val="20"/>
        </w:rPr>
        <w:t xml:space="preserve">The Health Protection (Notification) Regulations 2010</w:t>
      </w:r>
    </w:p>
    <w:p>
      <w:pPr>
        <w:pStyle w:val="ListParagraph"/>
        <w:numPr>
          <w:ilvl w:val="0"/>
          <w:numId w:val="2"/>
        </w:numPr>
        <w:spacing w:after="40" w:before="40"/>
      </w:pPr>
      <w:r>
        <w:rPr>
          <w:rFonts w:ascii="Arial" w:cs="Arial" w:eastAsia="Arial" w:hAnsi="Arial"/>
          <w:color w:val="2D2D2D"/>
          <w:sz w:val="20"/>
          <w:szCs w:val="20"/>
        </w:rPr>
        <w:t xml:space="preserve">Health and Safety at Work etc. Act 1974 (Sections 2 and 3)</w:t>
      </w:r>
    </w:p>
    <w:p>
      <w:pPr>
        <w:pStyle w:val="ListParagraph"/>
        <w:numPr>
          <w:ilvl w:val="0"/>
          <w:numId w:val="2"/>
        </w:numPr>
        <w:spacing w:after="40" w:before="40"/>
      </w:pPr>
      <w:r>
        <w:rPr>
          <w:rFonts w:ascii="Arial" w:cs="Arial" w:eastAsia="Arial" w:hAnsi="Arial"/>
          <w:color w:val="2D2D2D"/>
          <w:sz w:val="20"/>
          <w:szCs w:val="20"/>
        </w:rPr>
        <w:t xml:space="preserve">NHS England National Infection Prevention and Control Manual (2023)</w:t>
      </w:r>
    </w:p>
    <w:p>
      <w:pPr>
        <w:pStyle w:val="ListParagraph"/>
        <w:numPr>
          <w:ilvl w:val="0"/>
          <w:numId w:val="2"/>
        </w:numPr>
        <w:spacing w:after="40" w:before="40"/>
      </w:pPr>
      <w:r>
        <w:rPr>
          <w:rFonts w:ascii="Arial" w:cs="Arial" w:eastAsia="Arial" w:hAnsi="Arial"/>
          <w:color w:val="2D2D2D"/>
          <w:sz w:val="20"/>
          <w:szCs w:val="20"/>
        </w:rPr>
        <w:t xml:space="preserve">NICE Quality Standard QS61 – Infection Prevention and Control (2014, updated 2023)</w:t>
      </w:r>
    </w:p>
    <w:p>
      <w:pPr>
        <w:pStyle w:val="Heading1"/>
        <w:spacing w:after="120" w:before="360"/>
      </w:pPr>
      <w:r>
        <w:rPr>
          <w:rFonts w:ascii="Arial" w:cs="Arial" w:eastAsia="Arial" w:hAnsi="Arial"/>
          <w:b/>
          <w:bCs/>
          <w:color w:val="0B1D3A"/>
          <w:sz w:val="28"/>
          <w:szCs w:val="28"/>
        </w:rPr>
        <w:t xml:space="preserve">6. Roles and Responsibilities</w:t>
      </w:r>
    </w:p>
    <w:p>
      <w:pPr>
        <w:spacing w:after="80" w:before="60"/>
        <w:jc w:val="both"/>
      </w:pPr>
      <w:r>
        <w:rPr>
          <w:rFonts w:ascii="Arial" w:cs="Arial" w:eastAsia="Arial" w:hAnsi="Arial"/>
          <w:color w:val="2D2D2D"/>
          <w:sz w:val="21"/>
          <w:szCs w:val="21"/>
        </w:rPr>
        <w:t xml:space="preserve">The following roles and responsibilities are defined to ensure effective implementation and compliance with this policy: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6906"/>
      </w:tblGrid>
      <w:tr>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69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Responsibilities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IPC Lead (Clinical)</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Oversight of IPC programme; conducting IPC audits; advising on outbreak management; liaison with PHE/UKHSA; reviewing IPC incidents; maintaining IPC annual statement.</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Practice Manager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Ensuring IPC resources (PPE, cleaning supplies, training); managing cleaning contracts; coordinating waste management; maintaining IPC training records; supporting CQC compliance.</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Clinical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Applying Standard Infection Control Precautions at all times; adhering to hand hygiene policy; correct use and disposal of PPE; decontamination of equipment between patients; reporting IPC incidents.</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All Non-Clinical Staff</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Maintaining clean and tidy environment; following hand hygiene guidance; reporting spillages and IPC concerns; supporting clinical waste segregation.</w:t>
            </w:r>
          </w:p>
        </w:tc>
      </w:tr>
      <w:tr>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b/>
                <w:bCs/>
                <w:color w:val="2D2D2D"/>
                <w:sz w:val="19"/>
                <w:szCs w:val="19"/>
              </w:rPr>
              <w:t xml:space="preserve">Cleaning Contractor</w:t>
            </w:r>
          </w:p>
        </w:tc>
        <w:tc>
          <w:tcPr>
            <w:tcW w:type="dxa" w:w="69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Delivering cleaning services to agreed schedules and NHS cleaning standards; using approved products; reporting deficiencies; attending practice IPC briefings.</w:t>
            </w:r>
          </w:p>
        </w:tc>
      </w:tr>
    </w:tbl>
    <w:p>
      <w:pPr>
        <w:pStyle w:val="Heading1"/>
        <w:spacing w:after="120" w:before="360"/>
      </w:pPr>
      <w:r>
        <w:rPr>
          <w:rFonts w:ascii="Arial" w:cs="Arial" w:eastAsia="Arial" w:hAnsi="Arial"/>
          <w:b/>
          <w:bCs/>
          <w:color w:val="0B1D3A"/>
          <w:sz w:val="28"/>
          <w:szCs w:val="28"/>
        </w:rPr>
        <w:t xml:space="preserve">7. Policy Detail</w:t>
      </w:r>
    </w:p>
    <w:p>
      <w:pPr>
        <w:pStyle w:val="Heading2"/>
        <w:spacing w:after="80" w:before="240"/>
      </w:pPr>
      <w:r>
        <w:rPr>
          <w:rFonts w:ascii="Arial" w:cs="Arial" w:eastAsia="Arial" w:hAnsi="Arial"/>
          <w:b/>
          <w:bCs/>
          <w:color w:val="0B1D3A"/>
          <w:sz w:val="24"/>
          <w:szCs w:val="24"/>
        </w:rPr>
        <w:t xml:space="preserve">7.1 Standard Infection Control Precautions (SICPs)</w:t>
      </w:r>
    </w:p>
    <w:p>
      <w:pPr>
        <w:spacing w:after="80" w:before="60"/>
        <w:jc w:val="both"/>
      </w:pPr>
      <w:r>
        <w:rPr>
          <w:rFonts w:ascii="Arial" w:cs="Arial" w:eastAsia="Arial" w:hAnsi="Arial"/>
          <w:color w:val="2D2D2D"/>
          <w:sz w:val="21"/>
          <w:szCs w:val="21"/>
        </w:rPr>
        <w:t xml:space="preserve">All staff shall apply Standard Infection Control Precautions (SICPs) for every patient contact, regardless of known or suspected infection status. SICPs represent the minimum level of IPC practice required in all healthcare settings and are the primary mechanism for preventing cross-transmission of infection.</w:t>
      </w:r>
    </w:p>
    <w:p>
      <w:pPr>
        <w:spacing w:after="80" w:before="60"/>
        <w:jc w:val="both"/>
      </w:pPr>
      <w:r>
        <w:rPr>
          <w:rFonts w:ascii="Arial" w:cs="Arial" w:eastAsia="Arial" w:hAnsi="Arial"/>
          <w:b/>
          <w:bCs/>
          <w:color w:val="2D2D2D"/>
          <w:sz w:val="21"/>
          <w:szCs w:val="21"/>
        </w:rPr>
        <w:t xml:space="preserve">The ten elements of SICPs are:</w:t>
      </w:r>
    </w:p>
    <w:p>
      <w:pPr>
        <w:pStyle w:val="ListParagraph"/>
        <w:numPr>
          <w:ilvl w:val="0"/>
          <w:numId w:val="3"/>
        </w:numPr>
        <w:spacing w:after="40" w:before="40"/>
      </w:pPr>
      <w:r>
        <w:rPr>
          <w:rFonts w:ascii="Arial" w:cs="Arial" w:eastAsia="Arial" w:hAnsi="Arial"/>
          <w:color w:val="2D2D2D"/>
          <w:sz w:val="20"/>
          <w:szCs w:val="20"/>
        </w:rPr>
        <w:t xml:space="preserve">Patient placement and assessment for infection risk</w:t>
      </w:r>
    </w:p>
    <w:p>
      <w:pPr>
        <w:pStyle w:val="ListParagraph"/>
        <w:numPr>
          <w:ilvl w:val="0"/>
          <w:numId w:val="3"/>
        </w:numPr>
        <w:spacing w:after="40" w:before="40"/>
      </w:pPr>
      <w:r>
        <w:rPr>
          <w:rFonts w:ascii="Arial" w:cs="Arial" w:eastAsia="Arial" w:hAnsi="Arial"/>
          <w:color w:val="2D2D2D"/>
          <w:sz w:val="20"/>
          <w:szCs w:val="20"/>
        </w:rPr>
        <w:t xml:space="preserve">Hand hygiene</w:t>
      </w:r>
    </w:p>
    <w:p>
      <w:pPr>
        <w:pStyle w:val="ListParagraph"/>
        <w:numPr>
          <w:ilvl w:val="0"/>
          <w:numId w:val="3"/>
        </w:numPr>
        <w:spacing w:after="40" w:before="40"/>
      </w:pPr>
      <w:r>
        <w:rPr>
          <w:rFonts w:ascii="Arial" w:cs="Arial" w:eastAsia="Arial" w:hAnsi="Arial"/>
          <w:color w:val="2D2D2D"/>
          <w:sz w:val="20"/>
          <w:szCs w:val="20"/>
        </w:rPr>
        <w:t xml:space="preserve">Respiratory and cough hygiene</w:t>
      </w:r>
    </w:p>
    <w:p>
      <w:pPr>
        <w:pStyle w:val="ListParagraph"/>
        <w:numPr>
          <w:ilvl w:val="0"/>
          <w:numId w:val="3"/>
        </w:numPr>
        <w:spacing w:after="40" w:before="40"/>
      </w:pPr>
      <w:r>
        <w:rPr>
          <w:rFonts w:ascii="Arial" w:cs="Arial" w:eastAsia="Arial" w:hAnsi="Arial"/>
          <w:color w:val="2D2D2D"/>
          <w:sz w:val="20"/>
          <w:szCs w:val="20"/>
        </w:rPr>
        <w:t xml:space="preserve">Personal protective equipment (PPE)</w:t>
      </w:r>
    </w:p>
    <w:p>
      <w:pPr>
        <w:pStyle w:val="ListParagraph"/>
        <w:numPr>
          <w:ilvl w:val="0"/>
          <w:numId w:val="3"/>
        </w:numPr>
        <w:spacing w:after="40" w:before="40"/>
      </w:pPr>
      <w:r>
        <w:rPr>
          <w:rFonts w:ascii="Arial" w:cs="Arial" w:eastAsia="Arial" w:hAnsi="Arial"/>
          <w:color w:val="2D2D2D"/>
          <w:sz w:val="20"/>
          <w:szCs w:val="20"/>
        </w:rPr>
        <w:t xml:space="preserve">Safe management of the care environment</w:t>
      </w:r>
    </w:p>
    <w:p>
      <w:pPr>
        <w:pStyle w:val="ListParagraph"/>
        <w:numPr>
          <w:ilvl w:val="0"/>
          <w:numId w:val="3"/>
        </w:numPr>
        <w:spacing w:after="40" w:before="40"/>
      </w:pPr>
      <w:r>
        <w:rPr>
          <w:rFonts w:ascii="Arial" w:cs="Arial" w:eastAsia="Arial" w:hAnsi="Arial"/>
          <w:color w:val="2D2D2D"/>
          <w:sz w:val="20"/>
          <w:szCs w:val="20"/>
        </w:rPr>
        <w:t xml:space="preserve">Safe management of care equipment</w:t>
      </w:r>
    </w:p>
    <w:p>
      <w:pPr>
        <w:pStyle w:val="ListParagraph"/>
        <w:numPr>
          <w:ilvl w:val="0"/>
          <w:numId w:val="3"/>
        </w:numPr>
        <w:spacing w:after="40" w:before="40"/>
      </w:pPr>
      <w:r>
        <w:rPr>
          <w:rFonts w:ascii="Arial" w:cs="Arial" w:eastAsia="Arial" w:hAnsi="Arial"/>
          <w:color w:val="2D2D2D"/>
          <w:sz w:val="20"/>
          <w:szCs w:val="20"/>
        </w:rPr>
        <w:t xml:space="preserve">Safe management of healthcare linen</w:t>
      </w:r>
    </w:p>
    <w:p>
      <w:pPr>
        <w:pStyle w:val="ListParagraph"/>
        <w:numPr>
          <w:ilvl w:val="0"/>
          <w:numId w:val="3"/>
        </w:numPr>
        <w:spacing w:after="40" w:before="40"/>
      </w:pPr>
      <w:r>
        <w:rPr>
          <w:rFonts w:ascii="Arial" w:cs="Arial" w:eastAsia="Arial" w:hAnsi="Arial"/>
          <w:color w:val="2D2D2D"/>
          <w:sz w:val="20"/>
          <w:szCs w:val="20"/>
        </w:rPr>
        <w:t xml:space="preserve">Safe management of blood and body fluid spillages</w:t>
      </w:r>
    </w:p>
    <w:p>
      <w:pPr>
        <w:pStyle w:val="ListParagraph"/>
        <w:numPr>
          <w:ilvl w:val="0"/>
          <w:numId w:val="3"/>
        </w:numPr>
        <w:spacing w:after="40" w:before="40"/>
      </w:pPr>
      <w:r>
        <w:rPr>
          <w:rFonts w:ascii="Arial" w:cs="Arial" w:eastAsia="Arial" w:hAnsi="Arial"/>
          <w:color w:val="2D2D2D"/>
          <w:sz w:val="20"/>
          <w:szCs w:val="20"/>
        </w:rPr>
        <w:t xml:space="preserve">Safe disposal of waste (including sharps)</w:t>
      </w:r>
    </w:p>
    <w:p>
      <w:pPr>
        <w:pStyle w:val="ListParagraph"/>
        <w:numPr>
          <w:ilvl w:val="0"/>
          <w:numId w:val="3"/>
        </w:numPr>
        <w:spacing w:after="40" w:before="40"/>
      </w:pPr>
      <w:r>
        <w:rPr>
          <w:rFonts w:ascii="Arial" w:cs="Arial" w:eastAsia="Arial" w:hAnsi="Arial"/>
          <w:color w:val="2D2D2D"/>
          <w:sz w:val="20"/>
          <w:szCs w:val="20"/>
        </w:rPr>
        <w:t xml:space="preserve">Occupational safety: prevention and exposure management (including sharps injuries)</w:t>
      </w:r>
    </w:p>
    <w:p>
      <w:pPr>
        <w:pStyle w:val="Heading2"/>
        <w:spacing w:after="80" w:before="240"/>
      </w:pPr>
      <w:r>
        <w:rPr>
          <w:rFonts w:ascii="Arial" w:cs="Arial" w:eastAsia="Arial" w:hAnsi="Arial"/>
          <w:b/>
          <w:bCs/>
          <w:color w:val="0B1D3A"/>
          <w:sz w:val="24"/>
          <w:szCs w:val="24"/>
        </w:rPr>
        <w:t xml:space="preserve">7.2 Hand Hygiene</w:t>
      </w:r>
    </w:p>
    <w:p>
      <w:pPr>
        <w:spacing w:after="80" w:before="60"/>
        <w:jc w:val="both"/>
      </w:pPr>
      <w:r>
        <w:rPr>
          <w:rFonts w:ascii="Arial" w:cs="Arial" w:eastAsia="Arial" w:hAnsi="Arial"/>
          <w:color w:val="2D2D2D"/>
          <w:sz w:val="21"/>
          <w:szCs w:val="21"/>
        </w:rPr>
        <w:t xml:space="preserve">Hand hygiene is the single most important measure for preventing the spread of infection. All staff shall perform hand hygiene in accordance with the WHO ‘Five Moments for Hand Hygiene’ framework: (1) before patient contact; (2) before an aseptic task; (3) after body fluid exposure risk; (4) after patient contact; and (5) after contact with patient surroundings.</w:t>
      </w:r>
    </w:p>
    <w:p>
      <w:pPr>
        <w:spacing w:after="80" w:before="60"/>
        <w:jc w:val="both"/>
      </w:pPr>
      <w:r>
        <w:rPr>
          <w:rFonts w:ascii="Arial" w:cs="Arial" w:eastAsia="Arial" w:hAnsi="Arial"/>
          <w:color w:val="2D2D2D"/>
          <w:sz w:val="21"/>
          <w:szCs w:val="21"/>
        </w:rPr>
        <w:t xml:space="preserve">Alcohol-based hand rub (ABHR) shall be available at every point of patient care. Soap and water shall be used when hands are visibly soiled, after caring for patients with diarrhoea and/or vomiting (including suspected or confirmed norovirus or Clostridioides difficile), and after using the toilet.</w:t>
      </w:r>
    </w:p>
    <w:p>
      <w:pPr>
        <w:spacing w:after="80" w:before="60"/>
        <w:jc w:val="both"/>
      </w:pPr>
      <w:r>
        <w:rPr>
          <w:rFonts w:ascii="Arial" w:cs="Arial" w:eastAsia="Arial" w:hAnsi="Arial"/>
          <w:color w:val="2D2D2D"/>
          <w:sz w:val="21"/>
          <w:szCs w:val="21"/>
        </w:rPr>
        <w:t xml:space="preserve">Clinical staff shall adopt a ‘bare below the elbows’ approach during all clinical activity. Wrist watches, jewellery (other than a plain wedding band), artificial nails, and nail varnish shall not be worn during clinical duties.</w:t>
      </w:r>
    </w:p>
    <w:p>
      <w:pPr>
        <w:spacing w:after="80" w:before="60"/>
        <w:jc w:val="both"/>
      </w:pPr>
      <w:r>
        <w:rPr>
          <w:rFonts w:ascii="Arial" w:cs="Arial" w:eastAsia="Arial" w:hAnsi="Arial"/>
          <w:color w:val="2D2D2D"/>
          <w:sz w:val="21"/>
          <w:szCs w:val="21"/>
        </w:rPr>
        <w:t xml:space="preserve">Hand hygiene compliance shall be audited at least quarterly using the WHO Hand Hygiene Observation Tool, with results fed back to individual staff and reported in the IPC Annual Statement.</w:t>
      </w:r>
    </w:p>
    <w:p>
      <w:pPr>
        <w:pStyle w:val="Heading2"/>
        <w:spacing w:after="80" w:before="240"/>
      </w:pPr>
      <w:r>
        <w:rPr>
          <w:rFonts w:ascii="Arial" w:cs="Arial" w:eastAsia="Arial" w:hAnsi="Arial"/>
          <w:b/>
          <w:bCs/>
          <w:color w:val="0B1D3A"/>
          <w:sz w:val="24"/>
          <w:szCs w:val="24"/>
        </w:rPr>
        <w:t xml:space="preserve">7.3 Personal Protective Equipment (PPE)</w:t>
      </w:r>
    </w:p>
    <w:p>
      <w:pPr>
        <w:spacing w:after="80" w:before="60"/>
        <w:jc w:val="both"/>
      </w:pPr>
      <w:r>
        <w:rPr>
          <w:rFonts w:ascii="Arial" w:cs="Arial" w:eastAsia="Arial" w:hAnsi="Arial"/>
          <w:color w:val="2D2D2D"/>
          <w:sz w:val="21"/>
          <w:szCs w:val="21"/>
        </w:rPr>
        <w:t xml:space="preserve">PPE shall be selected on the basis of a risk assessment for each clinical activity, considering the likelihood and extent of exposure to blood, body fluids, secretions, excretions, and infectious agents. PPE shall be readily accessible in all clinical areas and of appropriate sizes.</w:t>
      </w:r>
    </w:p>
    <w:p>
      <w:pPr>
        <w:pStyle w:val="ListParagraph"/>
        <w:numPr>
          <w:ilvl w:val="0"/>
          <w:numId w:val="2"/>
        </w:numPr>
        <w:spacing w:after="40" w:before="40"/>
      </w:pPr>
      <w:r>
        <w:rPr>
          <w:rFonts w:ascii="Arial" w:cs="Arial" w:eastAsia="Arial" w:hAnsi="Arial"/>
          <w:color w:val="2D2D2D"/>
          <w:sz w:val="20"/>
          <w:szCs w:val="20"/>
        </w:rPr>
        <w:t xml:space="preserve">Gloves: single-use, non-sterile examination gloves for standard contact; sterile gloves for aseptic procedures. Gloves shall be changed between patients and between different care activities on the same patient.</w:t>
      </w:r>
    </w:p>
    <w:p>
      <w:pPr>
        <w:pStyle w:val="ListParagraph"/>
        <w:numPr>
          <w:ilvl w:val="0"/>
          <w:numId w:val="2"/>
        </w:numPr>
        <w:spacing w:after="40" w:before="40"/>
      </w:pPr>
      <w:r>
        <w:rPr>
          <w:rFonts w:ascii="Arial" w:cs="Arial" w:eastAsia="Arial" w:hAnsi="Arial"/>
          <w:color w:val="2D2D2D"/>
          <w:sz w:val="20"/>
          <w:szCs w:val="20"/>
        </w:rPr>
        <w:t xml:space="preserve">Aprons: single-use plastic aprons for activities with risk of splashing or contact with body fluids. Fluid-repellent gowns for procedures generating extensive splashing.</w:t>
      </w:r>
    </w:p>
    <w:p>
      <w:pPr>
        <w:pStyle w:val="ListParagraph"/>
        <w:numPr>
          <w:ilvl w:val="0"/>
          <w:numId w:val="2"/>
        </w:numPr>
        <w:spacing w:after="40" w:before="40"/>
      </w:pPr>
      <w:r>
        <w:rPr>
          <w:rFonts w:ascii="Arial" w:cs="Arial" w:eastAsia="Arial" w:hAnsi="Arial"/>
          <w:color w:val="2D2D2D"/>
          <w:sz w:val="20"/>
          <w:szCs w:val="20"/>
        </w:rPr>
        <w:t xml:space="preserve">Face masks and eye protection: surgical face masks with eye protection (or face visors) for procedures generating splashes or droplets. FFP3 respirators for aerosol-generating procedures (AGPs) on patients with suspected or confirmed airborne infections.</w:t>
      </w:r>
    </w:p>
    <w:p>
      <w:pPr>
        <w:spacing w:after="80" w:before="60"/>
        <w:jc w:val="both"/>
      </w:pPr>
      <w:r>
        <w:rPr>
          <w:rFonts w:ascii="Arial" w:cs="Arial" w:eastAsia="Arial" w:hAnsi="Arial"/>
          <w:color w:val="2D2D2D"/>
          <w:sz w:val="21"/>
          <w:szCs w:val="21"/>
        </w:rPr>
        <w:t xml:space="preserve">All clinical staff required to use FFP3 respirators shall undergo fit-testing at least every two years, or sooner if there is a change in facial characteristics. Fit-testing records shall be maintained by the Practice Manager.</w:t>
      </w:r>
    </w:p>
    <w:p>
      <w:pPr>
        <w:pStyle w:val="Heading2"/>
        <w:spacing w:after="80" w:before="240"/>
      </w:pPr>
      <w:r>
        <w:rPr>
          <w:rFonts w:ascii="Arial" w:cs="Arial" w:eastAsia="Arial" w:hAnsi="Arial"/>
          <w:b/>
          <w:bCs/>
          <w:color w:val="0B1D3A"/>
          <w:sz w:val="24"/>
          <w:szCs w:val="24"/>
        </w:rPr>
        <w:t xml:space="preserve">7.4 Decontamination of Equipment</w:t>
      </w:r>
    </w:p>
    <w:p>
      <w:pPr>
        <w:spacing w:after="80" w:before="60"/>
        <w:jc w:val="both"/>
      </w:pPr>
      <w:r>
        <w:rPr>
          <w:rFonts w:ascii="Arial" w:cs="Arial" w:eastAsia="Arial" w:hAnsi="Arial"/>
          <w:color w:val="2D2D2D"/>
          <w:sz w:val="21"/>
          <w:szCs w:val="21"/>
        </w:rPr>
        <w:t xml:space="preserve">All reusable medical equipment shall be decontaminated between each patient use in accordance with manufacturer’s instructions and the practice’s decontamination standard operating procedures. Single-use items shall never be reprocessed.</w:t>
      </w:r>
    </w:p>
    <w:p>
      <w:pPr>
        <w:spacing w:after="80" w:before="60"/>
        <w:jc w:val="both"/>
      </w:pPr>
      <w:r>
        <w:rPr>
          <w:rFonts w:ascii="Arial" w:cs="Arial" w:eastAsia="Arial" w:hAnsi="Arial"/>
          <w:color w:val="2D2D2D"/>
          <w:sz w:val="21"/>
          <w:szCs w:val="21"/>
        </w:rPr>
        <w:t xml:space="preserve">Examination couches, patient chairs, and clinical surfaces shall be cleaned with approved surface disinfectant wipes between each patient. A ‘clean sticker’ or log system shall confirm decontamination has been completed.</w:t>
      </w:r>
    </w:p>
    <w:p>
      <w:pPr>
        <w:spacing w:after="80" w:before="60"/>
        <w:jc w:val="both"/>
      </w:pPr>
      <w:r>
        <w:rPr>
          <w:rFonts w:ascii="Arial" w:cs="Arial" w:eastAsia="Arial" w:hAnsi="Arial"/>
          <w:color w:val="2D2D2D"/>
          <w:sz w:val="21"/>
          <w:szCs w:val="21"/>
        </w:rPr>
        <w:t xml:space="preserve">Any equipment requiring sterilisation (e.g. reusable specula, instruments for minor surgery) shall be processed through validated sterilisation cycles or, preferably, substituted with single-use alternatives in line with the hierarchy of decontamination.</w:t>
      </w:r>
    </w:p>
    <w:p>
      <w:pPr>
        <w:pStyle w:val="Heading2"/>
        <w:spacing w:after="80" w:before="240"/>
      </w:pPr>
      <w:r>
        <w:rPr>
          <w:rFonts w:ascii="Arial" w:cs="Arial" w:eastAsia="Arial" w:hAnsi="Arial"/>
          <w:b/>
          <w:bCs/>
          <w:color w:val="0B1D3A"/>
          <w:sz w:val="24"/>
          <w:szCs w:val="24"/>
        </w:rPr>
        <w:t xml:space="preserve">7.5 Clinical Waste Management</w:t>
      </w:r>
    </w:p>
    <w:p>
      <w:pPr>
        <w:spacing w:after="80" w:before="60"/>
        <w:jc w:val="both"/>
      </w:pPr>
      <w:r>
        <w:rPr>
          <w:rFonts w:ascii="Arial" w:cs="Arial" w:eastAsia="Arial" w:hAnsi="Arial"/>
          <w:color w:val="2D2D2D"/>
          <w:sz w:val="21"/>
          <w:szCs w:val="21"/>
        </w:rPr>
        <w:t xml:space="preserve">Clinical waste shall be segregated at the point of production using the colour-coded waste stream system mandated by HTM 07-01 (Safe Management of Healthcare Waste):</w:t>
      </w:r>
    </w:p>
    <w:p>
      <w:pPr>
        <w:pStyle w:val="ListParagraph"/>
        <w:numPr>
          <w:ilvl w:val="0"/>
          <w:numId w:val="2"/>
        </w:numPr>
        <w:spacing w:after="40" w:before="40"/>
      </w:pPr>
      <w:r>
        <w:rPr>
          <w:rFonts w:ascii="Arial" w:cs="Arial" w:eastAsia="Arial" w:hAnsi="Arial"/>
          <w:color w:val="2D2D2D"/>
          <w:sz w:val="20"/>
          <w:szCs w:val="20"/>
        </w:rPr>
        <w:t xml:space="preserve">Orange bags: infectious clinical waste for treatment (autoclaving) prior to disposal</w:t>
      </w:r>
    </w:p>
    <w:p>
      <w:pPr>
        <w:pStyle w:val="ListParagraph"/>
        <w:numPr>
          <w:ilvl w:val="0"/>
          <w:numId w:val="2"/>
        </w:numPr>
        <w:spacing w:after="40" w:before="40"/>
      </w:pPr>
      <w:r>
        <w:rPr>
          <w:rFonts w:ascii="Arial" w:cs="Arial" w:eastAsia="Arial" w:hAnsi="Arial"/>
          <w:color w:val="2D2D2D"/>
          <w:sz w:val="20"/>
          <w:szCs w:val="20"/>
        </w:rPr>
        <w:t xml:space="preserve">Yellow bags: clinical waste for incineration (anatomical waste, medicines waste)</w:t>
      </w:r>
    </w:p>
    <w:p>
      <w:pPr>
        <w:pStyle w:val="ListParagraph"/>
        <w:numPr>
          <w:ilvl w:val="0"/>
          <w:numId w:val="2"/>
        </w:numPr>
        <w:spacing w:after="40" w:before="40"/>
      </w:pPr>
      <w:r>
        <w:rPr>
          <w:rFonts w:ascii="Arial" w:cs="Arial" w:eastAsia="Arial" w:hAnsi="Arial"/>
          <w:color w:val="2D2D2D"/>
          <w:sz w:val="20"/>
          <w:szCs w:val="20"/>
        </w:rPr>
        <w:t xml:space="preserve">Yellow/black (tiger) bags: offensive/hygiene waste (non-infectious, non-hazardous)</w:t>
      </w:r>
    </w:p>
    <w:p>
      <w:pPr>
        <w:pStyle w:val="ListParagraph"/>
        <w:numPr>
          <w:ilvl w:val="0"/>
          <w:numId w:val="2"/>
        </w:numPr>
        <w:spacing w:after="40" w:before="40"/>
      </w:pPr>
      <w:r>
        <w:rPr>
          <w:rFonts w:ascii="Arial" w:cs="Arial" w:eastAsia="Arial" w:hAnsi="Arial"/>
          <w:color w:val="2D2D2D"/>
          <w:sz w:val="20"/>
          <w:szCs w:val="20"/>
        </w:rPr>
        <w:t xml:space="preserve">Yellow sharps containers (BS 7320): for all sharps waste</w:t>
      </w:r>
    </w:p>
    <w:p>
      <w:pPr>
        <w:pStyle w:val="ListParagraph"/>
        <w:numPr>
          <w:ilvl w:val="0"/>
          <w:numId w:val="2"/>
        </w:numPr>
        <w:spacing w:after="40" w:before="40"/>
      </w:pPr>
      <w:r>
        <w:rPr>
          <w:rFonts w:ascii="Arial" w:cs="Arial" w:eastAsia="Arial" w:hAnsi="Arial"/>
          <w:color w:val="2D2D2D"/>
          <w:sz w:val="20"/>
          <w:szCs w:val="20"/>
        </w:rPr>
        <w:t xml:space="preserve">Purple-lidded sharps containers: for cytotoxic/cytostatic sharps waste</w:t>
      </w:r>
    </w:p>
    <w:p>
      <w:pPr>
        <w:spacing w:after="80" w:before="60"/>
        <w:jc w:val="both"/>
      </w:pPr>
      <w:r>
        <w:rPr>
          <w:rFonts w:ascii="Arial" w:cs="Arial" w:eastAsia="Arial" w:hAnsi="Arial"/>
          <w:color w:val="2D2D2D"/>
          <w:sz w:val="21"/>
          <w:szCs w:val="21"/>
        </w:rPr>
        <w:t xml:space="preserve">Sharps containers shall be assembled correctly, labelled with date of assembly, and replaced when two-thirds full or at a maximum interval of three months (whichever is sooner). The practice shall use a licensed clinical waste carrier and maintain waste transfer notes for a minimum of two years (three years for hazardous waste), as required by the Environmental Protection Act 1990 and Hazardous Waste Regulations 2005.</w:t>
      </w:r>
    </w:p>
    <w:p>
      <w:pPr>
        <w:pStyle w:val="Heading2"/>
        <w:spacing w:after="80" w:before="240"/>
      </w:pPr>
      <w:r>
        <w:rPr>
          <w:rFonts w:ascii="Arial" w:cs="Arial" w:eastAsia="Arial" w:hAnsi="Arial"/>
          <w:b/>
          <w:bCs/>
          <w:color w:val="0B1D3A"/>
          <w:sz w:val="24"/>
          <w:szCs w:val="24"/>
        </w:rPr>
        <w:t xml:space="preserve">7.6 Management of Outbreaks and Communicable Diseases</w:t>
      </w:r>
    </w:p>
    <w:p>
      <w:pPr>
        <w:spacing w:after="80" w:before="60"/>
        <w:jc w:val="both"/>
      </w:pPr>
      <w:r>
        <w:rPr>
          <w:rFonts w:ascii="Arial" w:cs="Arial" w:eastAsia="Arial" w:hAnsi="Arial"/>
          <w:color w:val="2D2D2D"/>
          <w:sz w:val="21"/>
          <w:szCs w:val="21"/>
        </w:rPr>
        <w:t xml:space="preserve">Any suspected or confirmed outbreak of infection shall be managed in accordance with the practice’s Outbreak Management Plan. The IPC Lead shall notify the local Health Protection Team (UKHSA) without delay and implement enhanced control measures as advised.</w:t>
      </w:r>
    </w:p>
    <w:p>
      <w:pPr>
        <w:spacing w:after="80" w:before="60"/>
        <w:jc w:val="both"/>
      </w:pPr>
      <w:r>
        <w:rPr>
          <w:rFonts w:ascii="Arial" w:cs="Arial" w:eastAsia="Arial" w:hAnsi="Arial"/>
          <w:color w:val="2D2D2D"/>
          <w:sz w:val="21"/>
          <w:szCs w:val="21"/>
        </w:rPr>
        <w:t xml:space="preserve">Clinicians shall comply with statutory notification requirements under the Health Protection (Notification) Regulations 2010, notifying the Proper Officer of the local authority of any notifiable disease or causative organism within three days (or urgently by telephone if the case is urgent).</w:t>
      </w:r>
    </w:p>
    <w:p>
      <w:pPr>
        <w:spacing w:after="80" w:before="60"/>
        <w:jc w:val="both"/>
      </w:pPr>
      <w:r>
        <w:rPr>
          <w:rFonts w:ascii="Arial" w:cs="Arial" w:eastAsia="Arial" w:hAnsi="Arial"/>
          <w:color w:val="2D2D2D"/>
          <w:sz w:val="21"/>
          <w:szCs w:val="21"/>
        </w:rPr>
        <w:t xml:space="preserve">Patients presenting with symptoms of a potentially communicable airborne infection shall be isolated promptly in a designated area and assessed using appropriate respiratory precautions. Signage at the practice entrance shall direct symptomatic patients to notify reception staff immediately on arrival.</w:t>
      </w:r>
    </w:p>
    <w:p>
      <w:pPr>
        <w:pStyle w:val="Heading2"/>
        <w:spacing w:after="80" w:before="240"/>
      </w:pPr>
      <w:r>
        <w:rPr>
          <w:rFonts w:ascii="Arial" w:cs="Arial" w:eastAsia="Arial" w:hAnsi="Arial"/>
          <w:b/>
          <w:bCs/>
          <w:color w:val="0B1D3A"/>
          <w:sz w:val="24"/>
          <w:szCs w:val="24"/>
        </w:rPr>
        <w:t xml:space="preserve">7.7 Sharps Safety and Blood-Borne Virus Exposure</w:t>
      </w:r>
    </w:p>
    <w:p>
      <w:pPr>
        <w:spacing w:after="80" w:before="60"/>
        <w:jc w:val="both"/>
      </w:pPr>
      <w:r>
        <w:rPr>
          <w:rFonts w:ascii="Arial" w:cs="Arial" w:eastAsia="Arial" w:hAnsi="Arial"/>
          <w:color w:val="2D2D2D"/>
          <w:sz w:val="21"/>
          <w:szCs w:val="21"/>
        </w:rPr>
        <w:t xml:space="preserve">The practice shall use safety-engineered sharps devices (retractable needles, safety lancets, needle-free systems) wherever a suitable alternative exists, in compliance with the Health and Safety (Sharp Instruments in Healthcare) Regulations 2013.</w:t>
      </w:r>
    </w:p>
    <w:p>
      <w:pPr>
        <w:spacing w:after="80" w:before="60"/>
        <w:jc w:val="both"/>
      </w:pPr>
      <w:r>
        <w:rPr>
          <w:rFonts w:ascii="Arial" w:cs="Arial" w:eastAsia="Arial" w:hAnsi="Arial"/>
          <w:color w:val="2D2D2D"/>
          <w:sz w:val="21"/>
          <w:szCs w:val="21"/>
        </w:rPr>
        <w:t xml:space="preserve">In the event of a sharps injury or mucocutaneous exposure to blood or body fluids, the affected staff member shall follow the practice’s Sharps Injury Protocol: (1) encourage bleeding of the wound; (2) wash with soap and running water (do not scrub); (3) cover with waterproof dressing; (4) report immediately to the IPC Lead or Practice Manager; (5) attend the Occupational Health or Emergency Department for risk assessment and post-exposure prophylaxis consideration within one hour.</w:t>
      </w:r>
    </w:p>
    <w:p>
      <w:pPr>
        <w:spacing w:after="80" w:before="60"/>
        <w:jc w:val="both"/>
      </w:pPr>
      <w:r>
        <w:rPr>
          <w:rFonts w:ascii="Arial" w:cs="Arial" w:eastAsia="Arial" w:hAnsi="Arial"/>
          <w:color w:val="2D2D2D"/>
          <w:sz w:val="21"/>
          <w:szCs w:val="21"/>
        </w:rPr>
        <w:t xml:space="preserve">All sharps injuries shall be reported via the practice’s incident reporting system and reviewed as part of quarterly IPC audit. Sharps injuries resulting in over-seven-day incapacitation or exposure to a known blood-borne virus are reportable under RIDDOR.</w:t>
      </w:r>
    </w:p>
    <w:p>
      <w:pPr>
        <w:pStyle w:val="Heading2"/>
        <w:spacing w:after="80" w:before="240"/>
      </w:pPr>
      <w:r>
        <w:rPr>
          <w:rFonts w:ascii="Arial" w:cs="Arial" w:eastAsia="Arial" w:hAnsi="Arial"/>
          <w:b/>
          <w:bCs/>
          <w:color w:val="0B1D3A"/>
          <w:sz w:val="24"/>
          <w:szCs w:val="24"/>
        </w:rPr>
        <w:t xml:space="preserve">7.8 IPC Audit and Annual Statement</w:t>
      </w:r>
    </w:p>
    <w:p>
      <w:pPr>
        <w:spacing w:after="80" w:before="60"/>
        <w:jc w:val="both"/>
      </w:pPr>
      <w:r>
        <w:rPr>
          <w:rFonts w:ascii="Arial" w:cs="Arial" w:eastAsia="Arial" w:hAnsi="Arial"/>
          <w:color w:val="2D2D2D"/>
          <w:sz w:val="21"/>
          <w:szCs w:val="21"/>
        </w:rPr>
        <w:t xml:space="preserve">The IPC Lead shall conduct a programme of IPC audits throughout the year covering all key areas: hand hygiene compliance, environmental cleanliness, waste segregation, sharps safety, PPE compliance, and decontamination standards.</w:t>
      </w:r>
    </w:p>
    <w:p>
      <w:pPr>
        <w:spacing w:after="80" w:before="60"/>
        <w:jc w:val="both"/>
      </w:pPr>
      <w:r>
        <w:rPr>
          <w:rFonts w:ascii="Arial" w:cs="Arial" w:eastAsia="Arial" w:hAnsi="Arial"/>
          <w:color w:val="2D2D2D"/>
          <w:sz w:val="21"/>
          <w:szCs w:val="21"/>
        </w:rPr>
        <w:t xml:space="preserve">An IPC Annual Statement shall be produced and published within three months of the end of each financial year, summarising: audit results and actions; IPC incidents and learning; training compliance; any outbreaks and their management; and the IPC work programme for the forthcoming year. The IPC Annual Statement shall be made available to commissioners and the CQC upon request.</w:t>
      </w:r>
    </w:p>
    <w:p>
      <w:pPr>
        <w:pStyle w:val="Heading1"/>
        <w:spacing w:after="120" w:before="360"/>
      </w:pPr>
      <w:r>
        <w:rPr>
          <w:rFonts w:ascii="Arial" w:cs="Arial" w:eastAsia="Arial" w:hAnsi="Arial"/>
          <w:b/>
          <w:bCs/>
          <w:color w:val="0B1D3A"/>
          <w:sz w:val="28"/>
          <w:szCs w:val="28"/>
        </w:rPr>
        <w:t xml:space="preserve">8. Training and Awareness</w:t>
      </w:r>
    </w:p>
    <w:p>
      <w:pPr>
        <w:pStyle w:val="ListParagraph"/>
        <w:numPr>
          <w:ilvl w:val="0"/>
          <w:numId w:val="2"/>
        </w:numPr>
        <w:spacing w:after="40" w:before="40"/>
      </w:pPr>
      <w:r>
        <w:rPr>
          <w:rFonts w:ascii="Arial" w:cs="Arial" w:eastAsia="Arial" w:hAnsi="Arial"/>
          <w:color w:val="2D2D2D"/>
          <w:sz w:val="20"/>
          <w:szCs w:val="20"/>
        </w:rPr>
        <w:t xml:space="preserve">All staff shall complete IPC training at induction, including hand hygiene, PPE use, waste segregation, and sharps safety, before undertaking any clinical or patient-facing duties.</w:t>
      </w:r>
    </w:p>
    <w:p>
      <w:pPr>
        <w:pStyle w:val="ListParagraph"/>
        <w:numPr>
          <w:ilvl w:val="0"/>
          <w:numId w:val="2"/>
        </w:numPr>
        <w:spacing w:after="40" w:before="40"/>
      </w:pPr>
      <w:r>
        <w:rPr>
          <w:rFonts w:ascii="Arial" w:cs="Arial" w:eastAsia="Arial" w:hAnsi="Arial"/>
          <w:color w:val="2D2D2D"/>
          <w:sz w:val="20"/>
          <w:szCs w:val="20"/>
        </w:rPr>
        <w:t xml:space="preserve">Annual IPC update training shall be mandatory for all staff (clinical and non-clinical), with content aligned to the NHS England National IPC Manual and CQC Hygiene Code criteria.</w:t>
      </w:r>
    </w:p>
    <w:p>
      <w:pPr>
        <w:pStyle w:val="ListParagraph"/>
        <w:numPr>
          <w:ilvl w:val="0"/>
          <w:numId w:val="2"/>
        </w:numPr>
        <w:spacing w:after="40" w:before="40"/>
      </w:pPr>
      <w:r>
        <w:rPr>
          <w:rFonts w:ascii="Arial" w:cs="Arial" w:eastAsia="Arial" w:hAnsi="Arial"/>
          <w:color w:val="2D2D2D"/>
          <w:sz w:val="20"/>
          <w:szCs w:val="20"/>
        </w:rPr>
        <w:t xml:space="preserve">Clinical staff performing invasive or aseptic procedures shall receive specific training in the Aseptic Non-Touch Technique (ANTT) and demonstrate competency before practising independently.</w:t>
      </w:r>
    </w:p>
    <w:p>
      <w:pPr>
        <w:pStyle w:val="ListParagraph"/>
        <w:numPr>
          <w:ilvl w:val="0"/>
          <w:numId w:val="2"/>
        </w:numPr>
        <w:spacing w:after="40" w:before="40"/>
      </w:pPr>
      <w:r>
        <w:rPr>
          <w:rFonts w:ascii="Arial" w:cs="Arial" w:eastAsia="Arial" w:hAnsi="Arial"/>
          <w:color w:val="2D2D2D"/>
          <w:sz w:val="20"/>
          <w:szCs w:val="20"/>
        </w:rPr>
        <w:t xml:space="preserve">FFP3 respirator fit-testing shall be provided to all staff who may be required to care for patients with airborne infections or perform aerosol-generating procedures.</w:t>
      </w:r>
    </w:p>
    <w:p>
      <w:pPr>
        <w:pStyle w:val="ListParagraph"/>
        <w:numPr>
          <w:ilvl w:val="0"/>
          <w:numId w:val="2"/>
        </w:numPr>
        <w:spacing w:after="40" w:before="40"/>
      </w:pPr>
      <w:r>
        <w:rPr>
          <w:rFonts w:ascii="Arial" w:cs="Arial" w:eastAsia="Arial" w:hAnsi="Arial"/>
          <w:color w:val="2D2D2D"/>
          <w:sz w:val="20"/>
          <w:szCs w:val="20"/>
        </w:rPr>
        <w:t xml:space="preserve">Cleaning contractor staff shall receive a practice-specific IPC induction covering cleaning schedules, product usage, waste handling, and escalation procedures.</w:t>
      </w:r>
    </w:p>
    <w:p>
      <w:pPr>
        <w:pStyle w:val="ListParagraph"/>
        <w:numPr>
          <w:ilvl w:val="0"/>
          <w:numId w:val="2"/>
        </w:numPr>
        <w:spacing w:after="40" w:before="40"/>
      </w:pPr>
      <w:r>
        <w:rPr>
          <w:rFonts w:ascii="Arial" w:cs="Arial" w:eastAsia="Arial" w:hAnsi="Arial"/>
          <w:color w:val="2D2D2D"/>
          <w:sz w:val="20"/>
          <w:szCs w:val="20"/>
        </w:rPr>
        <w:t xml:space="preserve">The IPC Lead shall attend Level 3 IPC training (or equivalent CPD) at least triennially, in line with the RCGP IPC recommendations for primary care.</w:t>
      </w:r>
    </w:p>
    <w:p>
      <w:pPr>
        <w:pStyle w:val="Heading1"/>
        <w:spacing w:after="120" w:before="360"/>
      </w:pPr>
      <w:r>
        <w:rPr>
          <w:rFonts w:ascii="Arial" w:cs="Arial" w:eastAsia="Arial" w:hAnsi="Arial"/>
          <w:b/>
          <w:bCs/>
          <w:color w:val="0B1D3A"/>
          <w:sz w:val="28"/>
          <w:szCs w:val="28"/>
        </w:rPr>
        <w:t xml:space="preserve">9. Monitoring and Compliance</w:t>
      </w:r>
    </w:p>
    <w:p>
      <w:pPr>
        <w:spacing w:after="80" w:before="60"/>
        <w:jc w:val="both"/>
      </w:pPr>
      <w:r>
        <w:rPr>
          <w:rFonts w:ascii="Arial" w:cs="Arial" w:eastAsia="Arial" w:hAnsi="Arial"/>
          <w:color w:val="2D2D2D"/>
          <w:sz w:val="21"/>
          <w:szCs w:val="21"/>
        </w:rPr>
        <w:t xml:space="preserve">Compliance with this policy shall be monitored through the following mechanisms: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6"/>
      </w:tblGrid>
      <w:tr>
        <w:tc>
          <w:tcPr>
            <w:tcW w:type="dxa" w:w="3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Monitoring Activity</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Frequency</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Responsible Person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Hand hygiene compliance audit (WHO tool)</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Environmental cleanliness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Lead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Sharps safety and waste segregation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PPE stock and expiry check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Nurse / Practice Manager</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Decontamination standards audit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Six-monthly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incident review and trend analysis</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Quarterly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Annual Statement</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Lead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Full IPC policy review</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Annually</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IPC Lead / Practice Manager</w:t>
            </w:r>
          </w:p>
        </w:tc>
      </w:tr>
    </w:tbl>
    <w:p>
      <w:pPr>
        <w:pStyle w:val="Heading1"/>
        <w:spacing w:after="120" w:before="360"/>
      </w:pPr>
      <w:r>
        <w:rPr>
          <w:rFonts w:ascii="Arial" w:cs="Arial" w:eastAsia="Arial" w:hAnsi="Arial"/>
          <w:b/>
          <w:bCs/>
          <w:color w:val="0B1D3A"/>
          <w:sz w:val="28"/>
          <w:szCs w:val="28"/>
        </w:rPr>
        <w:t xml:space="preserve">10. Related Policies and Documents</w:t>
      </w:r>
    </w:p>
    <w:p>
      <w:pPr>
        <w:pStyle w:val="ListParagraph"/>
        <w:numPr>
          <w:ilvl w:val="0"/>
          <w:numId w:val="2"/>
        </w:numPr>
        <w:spacing w:after="40" w:before="40"/>
      </w:pPr>
      <w:r>
        <w:rPr>
          <w:rFonts w:ascii="Arial" w:cs="Arial" w:eastAsia="Arial" w:hAnsi="Arial"/>
          <w:color w:val="2D2D2D"/>
          <w:sz w:val="20"/>
          <w:szCs w:val="20"/>
        </w:rPr>
        <w:t xml:space="preserve">BS-RA-IPC-001 Infection Prevention and Control Risk Assessment</w:t>
      </w:r>
    </w:p>
    <w:p>
      <w:pPr>
        <w:pStyle w:val="ListParagraph"/>
        <w:numPr>
          <w:ilvl w:val="0"/>
          <w:numId w:val="2"/>
        </w:numPr>
        <w:spacing w:after="40" w:before="40"/>
      </w:pPr>
      <w:r>
        <w:rPr>
          <w:rFonts w:ascii="Arial" w:cs="Arial" w:eastAsia="Arial" w:hAnsi="Arial"/>
          <w:color w:val="2D2D2D"/>
          <w:sz w:val="20"/>
          <w:szCs w:val="20"/>
        </w:rPr>
        <w:t xml:space="preserve">BS-RA-COSHH-008 COSHH Risk Assessment</w:t>
      </w:r>
    </w:p>
    <w:p>
      <w:pPr>
        <w:pStyle w:val="ListParagraph"/>
        <w:numPr>
          <w:ilvl w:val="0"/>
          <w:numId w:val="2"/>
        </w:numPr>
        <w:spacing w:after="40" w:before="40"/>
      </w:pPr>
      <w:r>
        <w:rPr>
          <w:rFonts w:ascii="Arial" w:cs="Arial" w:eastAsia="Arial" w:hAnsi="Arial"/>
          <w:color w:val="2D2D2D"/>
          <w:sz w:val="20"/>
          <w:szCs w:val="20"/>
        </w:rPr>
        <w:t xml:space="preserve">BS-POL-HS-001 Health and Safety Policy</w:t>
      </w:r>
    </w:p>
    <w:p>
      <w:pPr>
        <w:pStyle w:val="ListParagraph"/>
        <w:numPr>
          <w:ilvl w:val="0"/>
          <w:numId w:val="2"/>
        </w:numPr>
        <w:spacing w:after="40" w:before="40"/>
      </w:pPr>
      <w:r>
        <w:rPr>
          <w:rFonts w:ascii="Arial" w:cs="Arial" w:eastAsia="Arial" w:hAnsi="Arial"/>
          <w:color w:val="2D2D2D"/>
          <w:sz w:val="20"/>
          <w:szCs w:val="20"/>
        </w:rPr>
        <w:t xml:space="preserve">Practice Sharps Injury Protocol</w:t>
      </w:r>
    </w:p>
    <w:p>
      <w:pPr>
        <w:pStyle w:val="ListParagraph"/>
        <w:numPr>
          <w:ilvl w:val="0"/>
          <w:numId w:val="2"/>
        </w:numPr>
        <w:spacing w:after="40" w:before="40"/>
      </w:pPr>
      <w:r>
        <w:rPr>
          <w:rFonts w:ascii="Arial" w:cs="Arial" w:eastAsia="Arial" w:hAnsi="Arial"/>
          <w:color w:val="2D2D2D"/>
          <w:sz w:val="20"/>
          <w:szCs w:val="20"/>
        </w:rPr>
        <w:t xml:space="preserve">Practice Outbreak Management Plan</w:t>
      </w:r>
    </w:p>
    <w:p>
      <w:pPr>
        <w:pStyle w:val="ListParagraph"/>
        <w:numPr>
          <w:ilvl w:val="0"/>
          <w:numId w:val="2"/>
        </w:numPr>
        <w:spacing w:after="40" w:before="40"/>
      </w:pPr>
      <w:r>
        <w:rPr>
          <w:rFonts w:ascii="Arial" w:cs="Arial" w:eastAsia="Arial" w:hAnsi="Arial"/>
          <w:color w:val="2D2D2D"/>
          <w:sz w:val="20"/>
          <w:szCs w:val="20"/>
        </w:rPr>
        <w:t xml:space="preserve">Practice Cleaning Schedule and Specification</w:t>
      </w:r>
    </w:p>
    <w:p>
      <w:pPr>
        <w:pStyle w:val="ListParagraph"/>
        <w:numPr>
          <w:ilvl w:val="0"/>
          <w:numId w:val="2"/>
        </w:numPr>
        <w:spacing w:after="40" w:before="40"/>
      </w:pPr>
      <w:r>
        <w:rPr>
          <w:rFonts w:ascii="Arial" w:cs="Arial" w:eastAsia="Arial" w:hAnsi="Arial"/>
          <w:color w:val="2D2D2D"/>
          <w:sz w:val="20"/>
          <w:szCs w:val="20"/>
        </w:rPr>
        <w:t xml:space="preserve">Practice Clinical Waste Management Procedure</w:t>
      </w:r>
    </w:p>
    <w:p>
      <w:pPr>
        <w:pStyle w:val="Heading1"/>
        <w:spacing w:after="120" w:before="360"/>
      </w:pPr>
      <w:r>
        <w:rPr>
          <w:rFonts w:ascii="Arial" w:cs="Arial" w:eastAsia="Arial" w:hAnsi="Arial"/>
          <w:b/>
          <w:bCs/>
          <w:color w:val="0B1D3A"/>
          <w:sz w:val="28"/>
          <w:szCs w:val="28"/>
        </w:rPr>
        <w:t xml:space="preserve">11. Equality and Diversity Statement</w:t>
      </w:r>
    </w:p>
    <w:p>
      <w:pPr>
        <w:spacing w:after="80" w:before="60"/>
        <w:jc w:val="both"/>
      </w:pPr>
      <w:r>
        <w:rPr>
          <w:rFonts w:ascii="Arial" w:cs="Arial" w:eastAsia="Arial" w:hAnsi="Arial"/>
          <w:color w:val="2D2D2D"/>
          <w:sz w:val="21"/>
          <w:szCs w:val="21"/>
        </w:rPr>
        <w:t xml:space="preserve">This policy has been subject to an Equality Impact Assessment. The practice is committed to ensuring that this policy is applied fairly and consistently to all persons regardless of age, disability, gender reassignment, marriage and civil partnership, pregnancy and maternity, race, religion or belief, sex, or sexual orientation, in accordance with the Equality Act 2010. Reasonable adjustments will be made for staff and patients with protected characteristics where required.</w:t>
      </w:r>
    </w:p>
    <w:p>
      <w:pPr>
        <w:pStyle w:val="Heading1"/>
        <w:spacing w:after="120" w:before="360"/>
      </w:pPr>
      <w:r>
        <w:rPr>
          <w:rFonts w:ascii="Arial" w:cs="Arial" w:eastAsia="Arial" w:hAnsi="Arial"/>
          <w:b/>
          <w:bCs/>
          <w:color w:val="0B1D3A"/>
          <w:sz w:val="28"/>
          <w:szCs w:val="28"/>
        </w:rPr>
        <w:t xml:space="preserve">12. Review</w:t>
      </w:r>
    </w:p>
    <w:p>
      <w:pPr>
        <w:spacing w:after="80" w:before="60"/>
        <w:jc w:val="both"/>
      </w:pPr>
      <w:r>
        <w:rPr>
          <w:rFonts w:ascii="Arial" w:cs="Arial" w:eastAsia="Arial" w:hAnsi="Arial"/>
          <w:color w:val="2D2D2D"/>
          <w:sz w:val="21"/>
          <w:szCs w:val="21"/>
        </w:rPr>
        <w:t xml:space="preserve">This policy shall be reviewed at least annually, or sooner in the event of changes to legislation, regulatory guidance, national standards, significant incidents, or organisational changes. The next scheduled review date is [Insert Date – 12 months from approval]. The IPC Lead is responsible for initiating the review process and ensuring updated versions are disseminated to all relevant staff.</w:t>
      </w:r>
    </w:p>
    <w:p>
      <w:r>
        <w:br w:type="page"/>
      </w:r>
    </w:p>
    <w:p>
      <w:pPr>
        <w:pStyle w:val="Heading1"/>
        <w:spacing w:after="120" w:before="360"/>
      </w:pPr>
      <w:r>
        <w:rPr>
          <w:rFonts w:ascii="Arial" w:cs="Arial" w:eastAsia="Arial" w:hAnsi="Arial"/>
          <w:b/>
          <w:bCs/>
          <w:color w:val="0B1D3A"/>
          <w:sz w:val="28"/>
          <w:szCs w:val="28"/>
        </w:rPr>
        <w:t xml:space="preserve">13. Approval and Sign-Off</w:t>
      </w:r>
    </w:p>
    <w:p>
      <w:pPr>
        <w:spacing w:after="80" w:before="60"/>
        <w:jc w:val="both"/>
      </w:pPr>
      <w:r>
        <w:rPr>
          <w:rFonts w:ascii="Arial" w:cs="Arial" w:eastAsia="Arial" w:hAnsi="Arial"/>
          <w:color w:val="2D2D2D"/>
          <w:sz w:val="21"/>
          <w:szCs w:val="21"/>
        </w:rPr>
        <w:t xml:space="preserve">This policy has been reviewed and approved by the following authorised persons:</w:t>
      </w:r>
    </w:p>
    <w:p>
      <w:pPr>
        <w:spacing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2600"/>
        <w:gridCol w:w="2406"/>
      </w:tblGrid>
      <w:tr>
        <w:tc>
          <w:tcPr>
            <w:tcW w:type="dxa" w:w="31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Print Name</w:t>
            </w:r>
          </w:p>
        </w:tc>
        <w:tc>
          <w:tcPr>
            <w:tcW w:type="dxa" w:w="26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Signature</w:t>
            </w:r>
          </w:p>
        </w:tc>
        <w:tc>
          <w:tcPr>
            <w:tcW w:type="dxa" w:w="24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Policy Author: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Practice Manager: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Senior Partner / Lead GP: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31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Caldicott Guardian / IG Lead: [Insert Name]</w:t>
            </w:r>
          </w:p>
        </w:tc>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4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200"/>
      </w:pPr>
    </w:p>
    <w:p>
      <w:pPr>
        <w:pBdr>
          <w:bottom w:val="single" w:color="D4AF37" w:sz="8" w:space="1"/>
        </w:pBdr>
        <w:spacing w:after="160" w:before="160"/>
      </w:pPr>
    </w:p>
    <w:p>
      <w:pPr>
        <w:spacing w:after="100" w:before="160"/>
      </w:pPr>
      <w:r>
        <w:rPr>
          <w:rFonts w:ascii="Arial" w:cs="Arial" w:eastAsia="Arial" w:hAnsi="Arial"/>
          <w:b/>
          <w:bCs/>
          <w:color w:val="0B1D3A"/>
          <w:sz w:val="24"/>
          <w:szCs w:val="24"/>
        </w:rPr>
        <w:t xml:space="preserve">Version History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6"/>
      </w:tblGrid>
      <w:tr>
        <w:tc>
          <w:tcPr>
            <w:tcW w:type="dxa" w:w="14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tcW w:type="dxa" w:w="18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Date</w:t>
            </w:r>
          </w:p>
        </w:tc>
        <w:tc>
          <w:tcPr>
            <w:tcW w:type="dxa" w:w="2200"/>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Author</w:t>
            </w:r>
          </w:p>
        </w:tc>
        <w:tc>
          <w:tcPr>
            <w:tcW w:type="dxa" w:w="4106"/>
            <w:tcBorders>
              <w:top w:val="single" w:color="0B1D3A" w:sz="1"/>
              <w:left w:val="single" w:color="0B1D3A" w:sz="1"/>
              <w:bottom w:val="single" w:color="0B1D3A" w:sz="1"/>
              <w:right w:val="single" w:color="0B1D3A" w:sz="1"/>
            </w:tcBorders>
            <w:shd w:fill="0B1D3A"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Summary of Changes</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center"/>
            </w:pPr>
            <w:r>
              <w:rPr>
                <w:rFonts w:ascii="Arial" w:cs="Arial" w:eastAsia="Arial" w:hAnsi="Arial"/>
                <w:color w:val="2D2D2D"/>
                <w:sz w:val="19"/>
                <w:szCs w:val="19"/>
              </w:rPr>
              <w:t xml:space="preserve">1.0</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Date]</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[Insert Name]</w:t>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Initial issue</w:t>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r>
        <w:tc>
          <w:tcPr>
            <w:tcW w:type="dxa" w:w="14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c>
          <w:tcPr>
            <w:tcW w:type="dxa" w:w="4106"/>
            <w:tcBorders>
              <w:top w:val="single" w:color="D1D5DB" w:sz="1"/>
              <w:left w:val="single" w:color="D1D5DB" w:sz="1"/>
              <w:bottom w:val="single" w:color="D1D5DB" w:sz="1"/>
              <w:right w:val="single" w:color="D1D5DB" w:sz="1"/>
            </w:tcBorders>
            <w:tcMar>
              <w:top w:type="dxa" w:w="80"/>
              <w:left w:type="dxa" w:w="120"/>
              <w:bottom w:type="dxa" w:w="80"/>
              <w:right w:type="dxa" w:w="120"/>
            </w:tcMar>
            <w:vAlign w:val="center"/>
          </w:tcPr>
          <w:p>
            <w:pPr>
              <w:jc w:val="left"/>
            </w:pPr>
            <w:r>
              <w:rPr>
                <w:rFonts w:ascii="Arial" w:cs="Arial" w:eastAsia="Arial" w:hAnsi="Arial"/>
                <w:color w:val="2D2D2D"/>
                <w:sz w:val="19"/>
                <w:szCs w:val="19"/>
              </w:rPr>
              <w:t xml:space="preserve"/>
            </w:r>
          </w:p>
        </w:tc>
      </w:tr>
    </w:tbl>
    <w:p>
      <w:pPr>
        <w:spacing w:before="300"/>
      </w:pPr>
    </w:p>
    <w:p>
      <w:pPr>
        <w:pBdr>
          <w:top w:val="single" w:color="D4AF37" w:sz="4" w:space="1"/>
        </w:pBdr>
        <w:spacing w:before="200"/>
        <w:jc w:val="center"/>
      </w:pPr>
      <w:r>
        <w:rPr>
          <w:rFonts w:ascii="Arial" w:cs="Arial" w:eastAsia="Arial" w:hAnsi="Arial"/>
          <w:b/>
          <w:bCs/>
          <w:color w:val="0B1D3A"/>
          <w:sz w:val="18"/>
          <w:szCs w:val="18"/>
        </w:rPr>
        <w:t xml:space="preserve">Prepared by Barker Scott  |  barker-scott.co.uk  |  Health &amp; Safety Consultants</w:t>
      </w:r>
    </w:p>
    <w:p>
      <w:pPr>
        <w:spacing w:after="200" w:before="60"/>
        <w:jc w:val="center"/>
      </w:pPr>
      <w:r>
        <w:rPr>
          <w:rFonts w:ascii="Arial" w:cs="Arial" w:eastAsia="Arial" w:hAnsi="Arial"/>
          <w:i/>
          <w:iCs/>
          <w:color w:val="6B7280"/>
          <w:sz w:val="14"/>
          <w:szCs w:val="14"/>
        </w:rPr>
        <w:t xml:space="preserve">This document is confidential and intended solely for use by the named practice. Unauthorised reproduction or distribution is prohibited.</w:t>
      </w:r>
    </w:p>
    <w:sectPr>
      <w:headerReference w:type="default" r:id="rId7"/>
      <w:footerReference w:type="default" r:id="rId8"/>
      <w:pgSz w:w="11906" w:h="16838" w:orient="portrait"/>
      <w:pgMar w:top="16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3" w:space="1"/>
      </w:pBdr>
      <w:spacing w:before="60"/>
    </w:pPr>
    <w:r>
      <w:rPr>
        <w:rFonts w:ascii="Arial" w:cs="Arial" w:eastAsia="Arial" w:hAnsi="Arial"/>
        <w:color w:val="6B7280"/>
        <w:sz w:val="14"/>
        <w:szCs w:val="14"/>
      </w:rPr>
      <w:t xml:space="preserve">BS-POL-IPC-002  |  v1.0  |  </w:t>
    </w:r>
    <w:r>
      <w:rPr>
        <w:rFonts w:ascii="Arial" w:cs="Arial" w:eastAsia="Arial" w:hAnsi="Arial"/>
        <w:color w:val="6B7280"/>
        <w:sz w:val="14"/>
        <w:szCs w:val="14"/>
      </w:rPr>
      <w:t xml:space="preserve">Page </w:t>
    </w:r>
    <w:r>
      <w:rPr>
        <w:rFonts w:ascii="Arial" w:cs="Arial" w:eastAsia="Arial" w:hAnsi="Arial"/>
        <w:color w:val="6B7280"/>
        <w:sz w:val="14"/>
        <w:szCs w:val="14"/>
      </w:rPr>
      <w:fldChar w:fldCharType="begin"/>
      <w:instrText xml:space="preserve">PAGE</w:instrText>
      <w:fldChar w:fldCharType="separate"/>
      <w:fldChar w:fldCharType="end"/>
    </w:r>
    <w:r>
      <w:rPr>
        <w:rFonts w:ascii="Arial" w:cs="Arial" w:eastAsia="Arial" w:hAnsi="Arial"/>
        <w:color w:val="6B7280"/>
        <w:sz w:val="14"/>
        <w:szCs w:val="14"/>
      </w:rPr>
      <w:t xml:space="preserve">  |  Barker Scott ©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40"/>
    </w:pPr>
    <w:r>
      <w:rPr>
        <w:rFonts w:ascii="Arial" w:cs="Arial" w:eastAsia="Arial" w:hAnsi="Arial"/>
        <w:b/>
        <w:bCs/>
        <w:color w:val="0B1D3A"/>
        <w:sz w:val="22"/>
        <w:szCs w:val="22"/>
      </w:rPr>
      <w:t xml:space="preserve">BARKER SCOTT</w:t>
    </w:r>
    <w:r>
      <w:rPr>
        <w:rFonts w:ascii="Arial" w:cs="Arial" w:eastAsia="Arial" w:hAnsi="Arial"/>
        <w:color w:val="D4AF37"/>
        <w:sz w:val="18"/>
        <w:szCs w:val="18"/>
      </w:rPr>
      <w:t xml:space="preserve">  |  </w:t>
    </w:r>
    <w:r>
      <w:rPr>
        <w:rFonts w:ascii="Arial" w:cs="Arial" w:eastAsia="Arial" w:hAnsi="Arial"/>
        <w:color w:val="6B7280"/>
        <w:sz w:val="18"/>
        <w:szCs w:val="18"/>
      </w:rPr>
      <w:t xml:space="preserve">Health &amp; Safety Consultants</w:t>
    </w:r>
  </w:p>
  <w:p>
    <w:pPr>
      <w:pBdr>
        <w:bottom w:val="single" w:color="D4AF37" w:sz="6" w:space="1"/>
      </w:pBdr>
      <w:spacing w:after="60"/>
    </w:pPr>
    <w:r>
      <w:rPr>
        <w:rFonts w:ascii="Arial" w:cs="Arial" w:eastAsia="Arial" w:hAnsi="Arial"/>
        <w:i/>
        <w:iCs/>
        <w:color w:val="6B7280"/>
        <w:sz w:val="15"/>
        <w:szCs w:val="15"/>
      </w:rPr>
      <w:t xml:space="preserve">BS-POL-IPC-002  |  Infection Prevention and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B1D3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2026-05-15T12:48:43.534Z</dcterms:created>
  <dcterms:modified xsi:type="dcterms:W3CDTF">2026-05-15T12:48:43.534Z</dcterms:modified>
</cp:coreProperties>
</file>

<file path=docProps/custom.xml><?xml version="1.0" encoding="utf-8"?>
<Properties xmlns="http://schemas.openxmlformats.org/officeDocument/2006/custom-properties" xmlns:vt="http://schemas.openxmlformats.org/officeDocument/2006/docPropsVTypes"/>
</file>