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Arial" w:cs="Arial" w:eastAsia="Arial" w:hAnsi="Arial"/>
          <w:b/>
          <w:bCs/>
          <w:caps/>
          <w:color w:val="D4AF37"/>
          <w:sz w:val="22"/>
          <w:szCs w:val="22"/>
        </w:rPr>
        <w:t xml:space="preserve">GP PRACTICE POLICY</w:t>
      </w:r>
    </w:p>
    <w:p>
      <w:pPr>
        <w:spacing w:after="20"/>
        <w:jc w:val="center"/>
      </w:pPr>
      <w:r>
        <w:rPr>
          <w:rFonts w:ascii="Arial" w:cs="Arial" w:eastAsia="Arial" w:hAnsi="Arial"/>
          <w:b/>
          <w:bCs/>
          <w:color w:val="0B1D3A"/>
          <w:sz w:val="40"/>
          <w:szCs w:val="40"/>
        </w:rPr>
        <w:t xml:space="preserve">LONE WORKING</w:t>
      </w:r>
    </w:p>
    <w:p>
      <w:pPr>
        <w:spacing w:after="20"/>
        <w:jc w:val="center"/>
      </w:pPr>
      <w:r>
        <w:rPr>
          <w:rFonts w:ascii="Arial" w:cs="Arial" w:eastAsia="Arial" w:hAnsi="Arial"/>
          <w:i/>
          <w:iCs/>
          <w:color w:val="6B7280"/>
          <w:sz w:val="22"/>
          <w:szCs w:val="22"/>
        </w:rPr>
        <w:t xml:space="preserve">Ensuring the safety of staff who work alone in or outside the practice premises</w:t>
      </w:r>
    </w:p>
    <w:p>
      <w:pPr>
        <w:pBdr>
          <w:bottom w:val="single" w:color="D4AF37" w:sz="8" w:space="1"/>
        </w:pBdr>
        <w:spacing w:after="160" w:before="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Policy Reference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BS-POL-LW-006</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1.0</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 Issued</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Approved By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 [Insert Job Title]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 Date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 – 12 months]</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Practice Name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Practice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Confidentiality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0B1D3A"/>
                <w:sz w:val="19"/>
                <w:szCs w:val="19"/>
              </w:rPr>
              <w:t xml:space="preserve">Internal Use Only</w:t>
            </w:r>
          </w:p>
        </w:tc>
      </w:tr>
    </w:tbl>
    <w:p>
      <w:pPr>
        <w:spacing w:before="200"/>
      </w:pPr>
    </w:p>
    <w:p>
      <w:pPr>
        <w:spacing w:after="120" w:before="200"/>
      </w:pPr>
      <w:r>
        <w:rPr>
          <w:rFonts w:ascii="Arial" w:cs="Arial" w:eastAsia="Arial" w:hAnsi="Arial"/>
          <w:b/>
          <w:bCs/>
          <w:color w:val="0B1D3A"/>
          <w:sz w:val="26"/>
          <w:szCs w:val="26"/>
        </w:rPr>
        <w:t xml:space="preserve">CONTENTS</w:t>
      </w:r>
    </w:p>
    <w:p>
      <w:pPr>
        <w:pBdr>
          <w:bottom w:val="single" w:color="D4AF37" w:sz="3" w:space="1"/>
        </w:pBdr>
        <w:spacing w:after="80" w:before="8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B1D3A"/>
          <w:sz w:val="28"/>
          <w:szCs w:val="28"/>
        </w:rPr>
        <w:t xml:space="preserve">1. Policy Statement</w:t>
      </w:r>
    </w:p>
    <w:p>
      <w:pPr>
        <w:spacing w:after="80" w:before="60"/>
        <w:jc w:val="both"/>
      </w:pPr>
      <w:r>
        <w:rPr>
          <w:rFonts w:ascii="Arial" w:cs="Arial" w:eastAsia="Arial" w:hAnsi="Arial"/>
          <w:color w:val="2D2D2D"/>
          <w:sz w:val="21"/>
          <w:szCs w:val="21"/>
        </w:rPr>
        <w:t xml:space="preserve">The practice recognises that lone working may expose staff to increased risks and is committed to ensuring, so far as is reasonably practicable, the health, safety, and welfare of all employees who work alone. The practice will identify lone working situations, assess the associated risks, and implement appropriate control measures to eliminate or reduce those risks to an acceptable level.</w:t>
      </w:r>
    </w:p>
    <w:p>
      <w:pPr>
        <w:pStyle w:val="Heading1"/>
        <w:spacing w:after="120" w:before="360"/>
      </w:pPr>
      <w:r>
        <w:rPr>
          <w:rFonts w:ascii="Arial" w:cs="Arial" w:eastAsia="Arial" w:hAnsi="Arial"/>
          <w:b/>
          <w:bCs/>
          <w:color w:val="0B1D3A"/>
          <w:sz w:val="28"/>
          <w:szCs w:val="28"/>
        </w:rPr>
        <w:t xml:space="preserve">2. Purpose</w:t>
      </w:r>
    </w:p>
    <w:p>
      <w:pPr>
        <w:spacing w:after="80" w:before="60"/>
        <w:jc w:val="both"/>
      </w:pPr>
      <w:r>
        <w:rPr>
          <w:rFonts w:ascii="Arial" w:cs="Arial" w:eastAsia="Arial" w:hAnsi="Arial"/>
          <w:color w:val="2D2D2D"/>
          <w:sz w:val="21"/>
          <w:szCs w:val="21"/>
        </w:rPr>
        <w:t xml:space="preserve">This policy sets out the practice’s approach to managing the risks associated with lone working, defines what constitutes lone working, and establishes the control measures and procedures that must be followed by all staff who may work alone.</w:t>
      </w:r>
    </w:p>
    <w:p>
      <w:pPr>
        <w:spacing w:after="80" w:before="60"/>
        <w:jc w:val="both"/>
      </w:pPr>
      <w:r>
        <w:rPr>
          <w:rFonts w:ascii="Arial" w:cs="Arial" w:eastAsia="Arial" w:hAnsi="Arial"/>
          <w:color w:val="2D2D2D"/>
          <w:sz w:val="21"/>
          <w:szCs w:val="21"/>
        </w:rPr>
        <w:t xml:space="preserve">The policy ensures compliance with the Health and Safety at Work etc. Act 1974, the Management of Health and Safety at Work Regulations 1999, and supports the practice in meeting CQC Regulation 12 (Safe Care and Treatment) and Regulation 18 (Staffing).</w:t>
      </w:r>
    </w:p>
    <w:p>
      <w:pPr>
        <w:pStyle w:val="Heading1"/>
        <w:spacing w:after="120" w:before="360"/>
      </w:pPr>
      <w:r>
        <w:rPr>
          <w:rFonts w:ascii="Arial" w:cs="Arial" w:eastAsia="Arial" w:hAnsi="Arial"/>
          <w:b/>
          <w:bCs/>
          <w:color w:val="0B1D3A"/>
          <w:sz w:val="28"/>
          <w:szCs w:val="28"/>
        </w:rPr>
        <w:t xml:space="preserve">3. Scope</w:t>
      </w:r>
    </w:p>
    <w:p>
      <w:pPr>
        <w:spacing w:after="80" w:before="60"/>
        <w:jc w:val="both"/>
      </w:pPr>
      <w:r>
        <w:rPr>
          <w:rFonts w:ascii="Arial" w:cs="Arial" w:eastAsia="Arial" w:hAnsi="Arial"/>
          <w:color w:val="2D2D2D"/>
          <w:sz w:val="21"/>
          <w:szCs w:val="21"/>
        </w:rPr>
        <w:t xml:space="preserve">This policy applies to all situations where staff work alone, including but not limited to:</w:t>
      </w:r>
    </w:p>
    <w:p>
      <w:pPr>
        <w:pStyle w:val="ListParagraph"/>
        <w:numPr>
          <w:ilvl w:val="0"/>
          <w:numId w:val="2"/>
        </w:numPr>
        <w:spacing w:after="40" w:before="40"/>
      </w:pPr>
      <w:r>
        <w:rPr>
          <w:rFonts w:ascii="Arial" w:cs="Arial" w:eastAsia="Arial" w:hAnsi="Arial"/>
          <w:color w:val="2D2D2D"/>
          <w:sz w:val="20"/>
          <w:szCs w:val="20"/>
        </w:rPr>
        <w:t xml:space="preserve">Clinical staff conducting home visits (GPs, practice nurses, healthcare assistants, community pharmacists)</w:t>
      </w:r>
    </w:p>
    <w:p>
      <w:pPr>
        <w:pStyle w:val="ListParagraph"/>
        <w:numPr>
          <w:ilvl w:val="0"/>
          <w:numId w:val="2"/>
        </w:numPr>
        <w:spacing w:after="40" w:before="40"/>
      </w:pPr>
      <w:r>
        <w:rPr>
          <w:rFonts w:ascii="Arial" w:cs="Arial" w:eastAsia="Arial" w:hAnsi="Arial"/>
          <w:color w:val="2D2D2D"/>
          <w:sz w:val="20"/>
          <w:szCs w:val="20"/>
        </w:rPr>
        <w:t xml:space="preserve">Staff working in the premises outside of normal opening hours (early mornings, evenings, weekends)</w:t>
      </w:r>
    </w:p>
    <w:p>
      <w:pPr>
        <w:pStyle w:val="ListParagraph"/>
        <w:numPr>
          <w:ilvl w:val="0"/>
          <w:numId w:val="2"/>
        </w:numPr>
        <w:spacing w:after="40" w:before="40"/>
      </w:pPr>
      <w:r>
        <w:rPr>
          <w:rFonts w:ascii="Arial" w:cs="Arial" w:eastAsia="Arial" w:hAnsi="Arial"/>
          <w:color w:val="2D2D2D"/>
          <w:sz w:val="20"/>
          <w:szCs w:val="20"/>
        </w:rPr>
        <w:t xml:space="preserve">Staff working in a part of the building that is physically isolated from other colleagues</w:t>
      </w:r>
    </w:p>
    <w:p>
      <w:pPr>
        <w:pStyle w:val="ListParagraph"/>
        <w:numPr>
          <w:ilvl w:val="0"/>
          <w:numId w:val="2"/>
        </w:numPr>
        <w:spacing w:after="40" w:before="40"/>
      </w:pPr>
      <w:r>
        <w:rPr>
          <w:rFonts w:ascii="Arial" w:cs="Arial" w:eastAsia="Arial" w:hAnsi="Arial"/>
          <w:color w:val="2D2D2D"/>
          <w:sz w:val="20"/>
          <w:szCs w:val="20"/>
        </w:rPr>
        <w:t xml:space="preserve">Administrative or cleaning staff working alone in the premises</w:t>
      </w:r>
    </w:p>
    <w:p>
      <w:pPr>
        <w:pStyle w:val="ListParagraph"/>
        <w:numPr>
          <w:ilvl w:val="0"/>
          <w:numId w:val="2"/>
        </w:numPr>
        <w:spacing w:after="40" w:before="40"/>
      </w:pPr>
      <w:r>
        <w:rPr>
          <w:rFonts w:ascii="Arial" w:cs="Arial" w:eastAsia="Arial" w:hAnsi="Arial"/>
          <w:color w:val="2D2D2D"/>
          <w:sz w:val="20"/>
          <w:szCs w:val="20"/>
        </w:rPr>
        <w:t xml:space="preserve">Staff attending meetings, training, or events at external locations on practice business</w:t>
      </w:r>
    </w:p>
    <w:p>
      <w:pPr>
        <w:pStyle w:val="Heading1"/>
        <w:spacing w:after="120" w:before="360"/>
      </w:pPr>
      <w:r>
        <w:rPr>
          <w:rFonts w:ascii="Arial" w:cs="Arial" w:eastAsia="Arial" w:hAnsi="Arial"/>
          <w:b/>
          <w:bCs/>
          <w:color w:val="0B1D3A"/>
          <w:sz w:val="28"/>
          <w:szCs w:val="28"/>
        </w:rPr>
        <w:t xml:space="preserve">4.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65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Lone Worker</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Any member of staff who works by themselves without close or direct supervision, or in a situation where they cannot be seen or heard by another colleague and could not reasonably expect timely assistance in an emergency.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Dynamic Risk Assessment</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 continuous process of assessing risk in a changing or unfamiliar environment, applied in real time by the individual worker to determine whether to proceed with, modify, or withdraw from a situation.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Buddy System</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 procedural arrangement in which a lone worker maintains regular scheduled contact with a designated colleague, who monitors their wellbeing and expected return.</w:t>
            </w:r>
          </w:p>
        </w:tc>
      </w:tr>
    </w:tbl>
    <w:p>
      <w:pPr>
        <w:pStyle w:val="Heading1"/>
        <w:spacing w:after="120" w:before="360"/>
      </w:pPr>
      <w:r>
        <w:rPr>
          <w:rFonts w:ascii="Arial" w:cs="Arial" w:eastAsia="Arial" w:hAnsi="Arial"/>
          <w:b/>
          <w:bCs/>
          <w:color w:val="0B1D3A"/>
          <w:sz w:val="28"/>
          <w:szCs w:val="28"/>
        </w:rPr>
        <w:t xml:space="preserve">5. Legal and Regulatory Framework</w:t>
      </w:r>
    </w:p>
    <w:p>
      <w:pPr>
        <w:spacing w:after="80" w:before="60"/>
        <w:jc w:val="both"/>
      </w:pPr>
      <w:r>
        <w:rPr>
          <w:rFonts w:ascii="Arial" w:cs="Arial" w:eastAsia="Arial" w:hAnsi="Arial"/>
          <w:color w:val="2D2D2D"/>
          <w:sz w:val="21"/>
          <w:szCs w:val="21"/>
        </w:rPr>
        <w:t xml:space="preserve">This policy is underpinned by the following legislation, regulations, and authoritative guidance:</w:t>
      </w:r>
    </w:p>
    <w:p>
      <w:pPr>
        <w:pStyle w:val="ListParagraph"/>
        <w:numPr>
          <w:ilvl w:val="0"/>
          <w:numId w:val="2"/>
        </w:numPr>
        <w:spacing w:after="40" w:before="40"/>
      </w:pPr>
      <w:r>
        <w:rPr>
          <w:rFonts w:ascii="Arial" w:cs="Arial" w:eastAsia="Arial" w:hAnsi="Arial"/>
          <w:color w:val="2D2D2D"/>
          <w:sz w:val="20"/>
          <w:szCs w:val="20"/>
        </w:rPr>
        <w:t xml:space="preserve">Health and Safety at Work etc. Act 1974 (Sections 2 and 3)</w:t>
      </w:r>
    </w:p>
    <w:p>
      <w:pPr>
        <w:pStyle w:val="ListParagraph"/>
        <w:numPr>
          <w:ilvl w:val="0"/>
          <w:numId w:val="2"/>
        </w:numPr>
        <w:spacing w:after="40" w:before="40"/>
      </w:pPr>
      <w:r>
        <w:rPr>
          <w:rFonts w:ascii="Arial" w:cs="Arial" w:eastAsia="Arial" w:hAnsi="Arial"/>
          <w:color w:val="2D2D2D"/>
          <w:sz w:val="20"/>
          <w:szCs w:val="20"/>
        </w:rPr>
        <w:t xml:space="preserve">The Management of Health and Safety at Work Regulations 1999 (Regulation 3 – Risk Assessment)</w:t>
      </w:r>
    </w:p>
    <w:p>
      <w:pPr>
        <w:pStyle w:val="ListParagraph"/>
        <w:numPr>
          <w:ilvl w:val="0"/>
          <w:numId w:val="2"/>
        </w:numPr>
        <w:spacing w:after="40" w:before="40"/>
      </w:pPr>
      <w:r>
        <w:rPr>
          <w:rFonts w:ascii="Arial" w:cs="Arial" w:eastAsia="Arial" w:hAnsi="Arial"/>
          <w:color w:val="2D2D2D"/>
          <w:sz w:val="20"/>
          <w:szCs w:val="20"/>
        </w:rPr>
        <w:t xml:space="preserve">The Reporting of Injuries, Diseases and Dangerous Occurrences Regulations 2013 (RIDDOR)</w:t>
      </w:r>
    </w:p>
    <w:p>
      <w:pPr>
        <w:pStyle w:val="ListParagraph"/>
        <w:numPr>
          <w:ilvl w:val="0"/>
          <w:numId w:val="2"/>
        </w:numPr>
        <w:spacing w:after="40" w:before="40"/>
      </w:pPr>
      <w:r>
        <w:rPr>
          <w:rFonts w:ascii="Arial" w:cs="Arial" w:eastAsia="Arial" w:hAnsi="Arial"/>
          <w:color w:val="2D2D2D"/>
          <w:sz w:val="20"/>
          <w:szCs w:val="20"/>
        </w:rPr>
        <w:t xml:space="preserve">The Health and Social Care Act 2008 (Regulated Activities) Regulations 2014 (Regulation 12 – Safe Care and Treatment; Regulation 18 – Staffing)</w:t>
      </w:r>
    </w:p>
    <w:p>
      <w:pPr>
        <w:pStyle w:val="ListParagraph"/>
        <w:numPr>
          <w:ilvl w:val="0"/>
          <w:numId w:val="2"/>
        </w:numPr>
        <w:spacing w:after="40" w:before="40"/>
      </w:pPr>
      <w:r>
        <w:rPr>
          <w:rFonts w:ascii="Arial" w:cs="Arial" w:eastAsia="Arial" w:hAnsi="Arial"/>
          <w:color w:val="2D2D2D"/>
          <w:sz w:val="20"/>
          <w:szCs w:val="20"/>
        </w:rPr>
        <w:t xml:space="preserve">Corporate Manslaughter and Corporate Homicide Act 2007</w:t>
      </w:r>
    </w:p>
    <w:p>
      <w:pPr>
        <w:pStyle w:val="ListParagraph"/>
        <w:numPr>
          <w:ilvl w:val="0"/>
          <w:numId w:val="2"/>
        </w:numPr>
        <w:spacing w:after="40" w:before="40"/>
      </w:pPr>
      <w:r>
        <w:rPr>
          <w:rFonts w:ascii="Arial" w:cs="Arial" w:eastAsia="Arial" w:hAnsi="Arial"/>
          <w:color w:val="2D2D2D"/>
          <w:sz w:val="20"/>
          <w:szCs w:val="20"/>
        </w:rPr>
        <w:t xml:space="preserve">Suzy Lamplugh Trust National Working Alone Guidance</w:t>
      </w:r>
    </w:p>
    <w:p>
      <w:pPr>
        <w:pStyle w:val="ListParagraph"/>
        <w:numPr>
          <w:ilvl w:val="0"/>
          <w:numId w:val="2"/>
        </w:numPr>
        <w:spacing w:after="40" w:before="40"/>
      </w:pPr>
      <w:r>
        <w:rPr>
          <w:rFonts w:ascii="Arial" w:cs="Arial" w:eastAsia="Arial" w:hAnsi="Arial"/>
          <w:color w:val="2D2D2D"/>
          <w:sz w:val="20"/>
          <w:szCs w:val="20"/>
        </w:rPr>
        <w:t xml:space="preserve">NHS Employers – Lone Working Guidance for NHS Staff</w:t>
      </w:r>
    </w:p>
    <w:p>
      <w:pPr>
        <w:pStyle w:val="ListParagraph"/>
        <w:numPr>
          <w:ilvl w:val="0"/>
          <w:numId w:val="2"/>
        </w:numPr>
        <w:spacing w:after="40" w:before="40"/>
      </w:pPr>
      <w:r>
        <w:rPr>
          <w:rFonts w:ascii="Arial" w:cs="Arial" w:eastAsia="Arial" w:hAnsi="Arial"/>
          <w:color w:val="2D2D2D"/>
          <w:sz w:val="20"/>
          <w:szCs w:val="20"/>
        </w:rPr>
        <w:t xml:space="preserve">BMA Guidance on GP Home Visits and Lone Working</w:t>
      </w:r>
    </w:p>
    <w:p>
      <w:pPr>
        <w:pStyle w:val="Heading1"/>
        <w:spacing w:after="120" w:before="360"/>
      </w:pPr>
      <w:r>
        <w:rPr>
          <w:rFonts w:ascii="Arial" w:cs="Arial" w:eastAsia="Arial" w:hAnsi="Arial"/>
          <w:b/>
          <w:bCs/>
          <w:color w:val="0B1D3A"/>
          <w:sz w:val="28"/>
          <w:szCs w:val="28"/>
        </w:rPr>
        <w:t xml:space="preserve">6. Roles and Responsibilities</w:t>
      </w:r>
    </w:p>
    <w:p>
      <w:pPr>
        <w:spacing w:after="80" w:before="60"/>
        <w:jc w:val="both"/>
      </w:pPr>
      <w:r>
        <w:rPr>
          <w:rFonts w:ascii="Arial" w:cs="Arial" w:eastAsia="Arial" w:hAnsi="Arial"/>
          <w:color w:val="2D2D2D"/>
          <w:sz w:val="21"/>
          <w:szCs w:val="21"/>
        </w:rPr>
        <w:t xml:space="preserve">The following roles and responsibilities are defined to ensure effective implementation and compliance with this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69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Responsibilities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Senior Partner / Lead GP</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Overall accountability for lone working safety; ensuring adequate resources for control measures; reviewing policy annually.</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Practice Manager</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Day-to-day management of lone working arrangements; maintaining risk assessments; issuing and managing lone worker devices; coordinating buddy systems; investigating lone working incidents.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Clinical Staff Conducting Home Visits</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Following the home visit protocol; conducting dynamic risk assessments; maintaining communication with the practice; carrying lone worker safety device; reporting incidents and near-misses.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All Lone Workers</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Familiarising themselves with this policy and associated procedures; carrying mobile phone and lone worker device; following buddy system check-in protocols; not taking unnecessary risks; reporting all incidents.</w:t>
            </w:r>
          </w:p>
        </w:tc>
      </w:tr>
    </w:tbl>
    <w:p>
      <w:pPr>
        <w:pStyle w:val="Heading1"/>
        <w:spacing w:after="120" w:before="360"/>
      </w:pPr>
      <w:r>
        <w:rPr>
          <w:rFonts w:ascii="Arial" w:cs="Arial" w:eastAsia="Arial" w:hAnsi="Arial"/>
          <w:b/>
          <w:bCs/>
          <w:color w:val="0B1D3A"/>
          <w:sz w:val="28"/>
          <w:szCs w:val="28"/>
        </w:rPr>
        <w:t xml:space="preserve">7. Policy Detail</w:t>
      </w:r>
    </w:p>
    <w:p>
      <w:pPr>
        <w:pStyle w:val="Heading2"/>
        <w:spacing w:after="80" w:before="240"/>
      </w:pPr>
      <w:r>
        <w:rPr>
          <w:rFonts w:ascii="Arial" w:cs="Arial" w:eastAsia="Arial" w:hAnsi="Arial"/>
          <w:b/>
          <w:bCs/>
          <w:color w:val="0B1D3A"/>
          <w:sz w:val="24"/>
          <w:szCs w:val="24"/>
        </w:rPr>
        <w:t xml:space="preserve">7.1 Risk Assessment for Lone Working</w:t>
      </w:r>
    </w:p>
    <w:p>
      <w:pPr>
        <w:spacing w:after="80" w:before="60"/>
        <w:jc w:val="both"/>
      </w:pPr>
      <w:r>
        <w:rPr>
          <w:rFonts w:ascii="Arial" w:cs="Arial" w:eastAsia="Arial" w:hAnsi="Arial"/>
          <w:color w:val="2D2D2D"/>
          <w:sz w:val="21"/>
          <w:szCs w:val="21"/>
        </w:rPr>
        <w:t xml:space="preserve">A specific risk assessment for lone working shall be conducted, recorded, and reviewed at least annually, in accordance with Regulation 3 of the Management of Health and Safety at Work Regulations 1999. The risk assessment shall identify all lone working activities, evaluate the hazards associated with each, and specify the control measures required.</w:t>
      </w:r>
    </w:p>
    <w:p>
      <w:pPr>
        <w:spacing w:after="80" w:before="60"/>
        <w:jc w:val="both"/>
      </w:pPr>
      <w:r>
        <w:rPr>
          <w:rFonts w:ascii="Arial" w:cs="Arial" w:eastAsia="Arial" w:hAnsi="Arial"/>
          <w:color w:val="2D2D2D"/>
          <w:sz w:val="21"/>
          <w:szCs w:val="21"/>
        </w:rPr>
        <w:t xml:space="preserve">The risk assessment shall consider, as a minimum: the nature and location of the work; the vulnerability of the worker; the potential for violence, aggression, or threatening behaviour; communication and contact arrangements; the worker’s training and competence; medical fitness for lone working; and the procedures for emergency response.</w:t>
      </w:r>
    </w:p>
    <w:p>
      <w:pPr>
        <w:spacing w:after="80" w:before="60"/>
        <w:jc w:val="both"/>
      </w:pPr>
      <w:r>
        <w:rPr>
          <w:rFonts w:ascii="Arial" w:cs="Arial" w:eastAsia="Arial" w:hAnsi="Arial"/>
          <w:color w:val="2D2D2D"/>
          <w:sz w:val="21"/>
          <w:szCs w:val="21"/>
        </w:rPr>
        <w:t xml:space="preserve">Certain high-risk tasks shall not be performed by lone workers, including: the administration of controlled drugs during home visits without a second clinician or approved witness; any procedure requiring two persons for safe delivery; and work in premises assessed as presenting a high security risk.</w:t>
      </w:r>
    </w:p>
    <w:p>
      <w:pPr>
        <w:pStyle w:val="Heading2"/>
        <w:spacing w:after="80" w:before="240"/>
      </w:pPr>
      <w:r>
        <w:rPr>
          <w:rFonts w:ascii="Arial" w:cs="Arial" w:eastAsia="Arial" w:hAnsi="Arial"/>
          <w:b/>
          <w:bCs/>
          <w:color w:val="0B1D3A"/>
          <w:sz w:val="24"/>
          <w:szCs w:val="24"/>
        </w:rPr>
        <w:t xml:space="preserve">7.2 Home Visit Protocol</w:t>
      </w:r>
    </w:p>
    <w:p>
      <w:pPr>
        <w:spacing w:after="80" w:before="60"/>
        <w:jc w:val="both"/>
      </w:pPr>
      <w:r>
        <w:rPr>
          <w:rFonts w:ascii="Arial" w:cs="Arial" w:eastAsia="Arial" w:hAnsi="Arial"/>
          <w:color w:val="2D2D2D"/>
          <w:sz w:val="21"/>
          <w:szCs w:val="21"/>
        </w:rPr>
        <w:t xml:space="preserve">All home visits shall be managed through the practice’s home visit protocol, which requires the following steps:</w:t>
      </w:r>
    </w:p>
    <w:p>
      <w:pPr>
        <w:pStyle w:val="ListParagraph"/>
        <w:numPr>
          <w:ilvl w:val="0"/>
          <w:numId w:val="3"/>
        </w:numPr>
        <w:spacing w:after="40" w:before="40"/>
      </w:pPr>
      <w:r>
        <w:rPr>
          <w:rFonts w:ascii="Arial" w:cs="Arial" w:eastAsia="Arial" w:hAnsi="Arial"/>
          <w:color w:val="2D2D2D"/>
          <w:sz w:val="20"/>
          <w:szCs w:val="20"/>
        </w:rPr>
        <w:t xml:space="preserve">Pre-visit risk screening: reception staff shall record the patient’s address, contact number, reason for visit, and any known risk factors (history of violence, dangerous animals, substance misuse). The clinical record and practice risk register shall be checked.</w:t>
      </w:r>
    </w:p>
    <w:p>
      <w:pPr>
        <w:pStyle w:val="ListParagraph"/>
        <w:numPr>
          <w:ilvl w:val="0"/>
          <w:numId w:val="3"/>
        </w:numPr>
        <w:spacing w:after="40" w:before="40"/>
      </w:pPr>
      <w:r>
        <w:rPr>
          <w:rFonts w:ascii="Arial" w:cs="Arial" w:eastAsia="Arial" w:hAnsi="Arial"/>
          <w:color w:val="2D2D2D"/>
          <w:sz w:val="20"/>
          <w:szCs w:val="20"/>
        </w:rPr>
        <w:t xml:space="preserve">Visit logging: the clinician’s name, patient details, estimated departure time, and expected return time shall be recorded in the home visit log (electronic or paper).</w:t>
      </w:r>
    </w:p>
    <w:p>
      <w:pPr>
        <w:pStyle w:val="ListParagraph"/>
        <w:numPr>
          <w:ilvl w:val="0"/>
          <w:numId w:val="3"/>
        </w:numPr>
        <w:spacing w:after="40" w:before="40"/>
      </w:pPr>
      <w:r>
        <w:rPr>
          <w:rFonts w:ascii="Arial" w:cs="Arial" w:eastAsia="Arial" w:hAnsi="Arial"/>
          <w:color w:val="2D2D2D"/>
          <w:sz w:val="20"/>
          <w:szCs w:val="20"/>
        </w:rPr>
        <w:t xml:space="preserve">Communication: the clinician shall carry a fully charged mobile phone and, where provided, a lone worker safety device with GPS tracking and SOS functionality.</w:t>
      </w:r>
    </w:p>
    <w:p>
      <w:pPr>
        <w:pStyle w:val="ListParagraph"/>
        <w:numPr>
          <w:ilvl w:val="0"/>
          <w:numId w:val="3"/>
        </w:numPr>
        <w:spacing w:after="40" w:before="40"/>
      </w:pPr>
      <w:r>
        <w:rPr>
          <w:rFonts w:ascii="Arial" w:cs="Arial" w:eastAsia="Arial" w:hAnsi="Arial"/>
          <w:color w:val="2D2D2D"/>
          <w:sz w:val="20"/>
          <w:szCs w:val="20"/>
        </w:rPr>
        <w:t xml:space="preserve">Buddy check-in: the clinician shall contact the practice on arrival at the patient’s address and again on departure. If the clinician has not made contact by the expected return time, the designated buddy shall attempt telephone contact. If contact cannot be established within 15 minutes, the escalation procedure shall be activated.</w:t>
      </w:r>
    </w:p>
    <w:p>
      <w:pPr>
        <w:pStyle w:val="ListParagraph"/>
        <w:numPr>
          <w:ilvl w:val="0"/>
          <w:numId w:val="3"/>
        </w:numPr>
        <w:spacing w:after="40" w:before="40"/>
      </w:pPr>
      <w:r>
        <w:rPr>
          <w:rFonts w:ascii="Arial" w:cs="Arial" w:eastAsia="Arial" w:hAnsi="Arial"/>
          <w:color w:val="2D2D2D"/>
          <w:sz w:val="20"/>
          <w:szCs w:val="20"/>
        </w:rPr>
        <w:t xml:space="preserve">Dynamic risk assessment: on arrival, the clinician shall assess the environment (access, egress, other persons present, signs of risk) and decide whether it is safe to proceed. If the clinician feels unsafe at any point, they shall withdraw immediately and report to the practice.</w:t>
      </w:r>
    </w:p>
    <w:p>
      <w:pPr>
        <w:pStyle w:val="Heading2"/>
        <w:spacing w:after="80" w:before="240"/>
      </w:pPr>
      <w:r>
        <w:rPr>
          <w:rFonts w:ascii="Arial" w:cs="Arial" w:eastAsia="Arial" w:hAnsi="Arial"/>
          <w:b/>
          <w:bCs/>
          <w:color w:val="0B1D3A"/>
          <w:sz w:val="24"/>
          <w:szCs w:val="24"/>
        </w:rPr>
        <w:t xml:space="preserve">7.3 Lone Working on Premises</w:t>
      </w:r>
    </w:p>
    <w:p>
      <w:pPr>
        <w:spacing w:after="80" w:before="60"/>
        <w:jc w:val="both"/>
      </w:pPr>
      <w:r>
        <w:rPr>
          <w:rFonts w:ascii="Arial" w:cs="Arial" w:eastAsia="Arial" w:hAnsi="Arial"/>
          <w:color w:val="2D2D2D"/>
          <w:sz w:val="21"/>
          <w:szCs w:val="21"/>
        </w:rPr>
        <w:t xml:space="preserve">Staff who work alone in the practice premises (e.g. outside of normal opening hours) shall ensure that: the building is secured on entry (external doors locked); they have access to a telephone and mobile phone; a colleague or family member is aware of their location and expected departure time; and they are familiar with the emergency exits and alarm procedures.</w:t>
      </w:r>
    </w:p>
    <w:p>
      <w:pPr>
        <w:spacing w:after="80" w:before="60"/>
        <w:jc w:val="both"/>
      </w:pPr>
      <w:r>
        <w:rPr>
          <w:rFonts w:ascii="Arial" w:cs="Arial" w:eastAsia="Arial" w:hAnsi="Arial"/>
          <w:color w:val="2D2D2D"/>
          <w:sz w:val="21"/>
          <w:szCs w:val="21"/>
        </w:rPr>
        <w:t xml:space="preserve">Where cleaning or maintenance staff work alone, the Practice Manager shall ensure that their working hours are communicated and that a check-in arrangement is in place. Contractors shall not be given unsupervised access to the premises unless authorised by the Practice Manager and risk-assessed.</w:t>
      </w:r>
    </w:p>
    <w:p>
      <w:pPr>
        <w:pStyle w:val="Heading2"/>
        <w:spacing w:after="80" w:before="240"/>
      </w:pPr>
      <w:r>
        <w:rPr>
          <w:rFonts w:ascii="Arial" w:cs="Arial" w:eastAsia="Arial" w:hAnsi="Arial"/>
          <w:b/>
          <w:bCs/>
          <w:color w:val="0B1D3A"/>
          <w:sz w:val="24"/>
          <w:szCs w:val="24"/>
        </w:rPr>
        <w:t xml:space="preserve">7.4 Communication and Technology</w:t>
      </w:r>
    </w:p>
    <w:p>
      <w:pPr>
        <w:spacing w:after="80" w:before="60"/>
        <w:jc w:val="both"/>
      </w:pPr>
      <w:r>
        <w:rPr>
          <w:rFonts w:ascii="Arial" w:cs="Arial" w:eastAsia="Arial" w:hAnsi="Arial"/>
          <w:color w:val="2D2D2D"/>
          <w:sz w:val="21"/>
          <w:szCs w:val="21"/>
        </w:rPr>
        <w:t xml:space="preserve">The practice shall provide appropriate communication and safety technology to support lone workers, which may include: mobile phones with GPS; dedicated lone worker safety devices or smartphone applications with SOS alert, GPS tracking, and fall detection; and practice telephony systems with visibility of home visit status.</w:t>
      </w:r>
    </w:p>
    <w:p>
      <w:pPr>
        <w:spacing w:after="80" w:before="60"/>
        <w:jc w:val="both"/>
      </w:pPr>
      <w:r>
        <w:rPr>
          <w:rFonts w:ascii="Arial" w:cs="Arial" w:eastAsia="Arial" w:hAnsi="Arial"/>
          <w:color w:val="2D2D2D"/>
          <w:sz w:val="21"/>
          <w:szCs w:val="21"/>
        </w:rPr>
        <w:t xml:space="preserve">All lone worker devices shall be tested regularly and maintained in working order. Staff shall be trained in the use of safety devices before being required to lone work. The practice shall ensure that lone worker monitoring is proportionate and respects staff privacy, in compliance with UK GDPR.</w:t>
      </w:r>
    </w:p>
    <w:p>
      <w:pPr>
        <w:pStyle w:val="Heading2"/>
        <w:spacing w:after="80" w:before="240"/>
      </w:pPr>
      <w:r>
        <w:rPr>
          <w:rFonts w:ascii="Arial" w:cs="Arial" w:eastAsia="Arial" w:hAnsi="Arial"/>
          <w:b/>
          <w:bCs/>
          <w:color w:val="0B1D3A"/>
          <w:sz w:val="24"/>
          <w:szCs w:val="24"/>
        </w:rPr>
        <w:t xml:space="preserve">7.5 Escalation and Emergency Procedures</w:t>
      </w:r>
    </w:p>
    <w:p>
      <w:pPr>
        <w:spacing w:after="80" w:before="60"/>
        <w:jc w:val="both"/>
      </w:pPr>
      <w:r>
        <w:rPr>
          <w:rFonts w:ascii="Arial" w:cs="Arial" w:eastAsia="Arial" w:hAnsi="Arial"/>
          <w:color w:val="2D2D2D"/>
          <w:sz w:val="21"/>
          <w:szCs w:val="21"/>
        </w:rPr>
        <w:t xml:space="preserve">Where a lone worker activates an SOS alert, fails to check in at the expected time, or cannot be contacted, the following escalation procedure shall be followed:</w:t>
      </w:r>
    </w:p>
    <w:p>
      <w:pPr>
        <w:pStyle w:val="ListParagraph"/>
        <w:numPr>
          <w:ilvl w:val="0"/>
          <w:numId w:val="3"/>
        </w:numPr>
        <w:spacing w:after="40" w:before="40"/>
      </w:pPr>
      <w:r>
        <w:rPr>
          <w:rFonts w:ascii="Arial" w:cs="Arial" w:eastAsia="Arial" w:hAnsi="Arial"/>
          <w:color w:val="2D2D2D"/>
          <w:sz w:val="20"/>
          <w:szCs w:val="20"/>
        </w:rPr>
        <w:t xml:space="preserve">Buddy attempts to contact the lone worker by telephone (call and text).</w:t>
      </w:r>
    </w:p>
    <w:p>
      <w:pPr>
        <w:pStyle w:val="ListParagraph"/>
        <w:numPr>
          <w:ilvl w:val="0"/>
          <w:numId w:val="3"/>
        </w:numPr>
        <w:spacing w:after="40" w:before="40"/>
      </w:pPr>
      <w:r>
        <w:rPr>
          <w:rFonts w:ascii="Arial" w:cs="Arial" w:eastAsia="Arial" w:hAnsi="Arial"/>
          <w:color w:val="2D2D2D"/>
          <w:sz w:val="20"/>
          <w:szCs w:val="20"/>
        </w:rPr>
        <w:t xml:space="preserve">If no response within 15 minutes, the Practice Manager (or senior clinician in their absence) is informed.</w:t>
      </w:r>
    </w:p>
    <w:p>
      <w:pPr>
        <w:pStyle w:val="ListParagraph"/>
        <w:numPr>
          <w:ilvl w:val="0"/>
          <w:numId w:val="3"/>
        </w:numPr>
        <w:spacing w:after="40" w:before="40"/>
      </w:pPr>
      <w:r>
        <w:rPr>
          <w:rFonts w:ascii="Arial" w:cs="Arial" w:eastAsia="Arial" w:hAnsi="Arial"/>
          <w:color w:val="2D2D2D"/>
          <w:sz w:val="20"/>
          <w:szCs w:val="20"/>
        </w:rPr>
        <w:t xml:space="preserve">The Practice Manager attempts further contact and checks GPS location (if available).</w:t>
      </w:r>
    </w:p>
    <w:p>
      <w:pPr>
        <w:pStyle w:val="ListParagraph"/>
        <w:numPr>
          <w:ilvl w:val="0"/>
          <w:numId w:val="3"/>
        </w:numPr>
        <w:spacing w:after="40" w:before="40"/>
      </w:pPr>
      <w:r>
        <w:rPr>
          <w:rFonts w:ascii="Arial" w:cs="Arial" w:eastAsia="Arial" w:hAnsi="Arial"/>
          <w:color w:val="2D2D2D"/>
          <w:sz w:val="20"/>
          <w:szCs w:val="20"/>
        </w:rPr>
        <w:t xml:space="preserve">If no contact within 30 minutes, or if SOS has been activated, the Practice Manager contacts the police (999 or 101 depending on urgency) and the staff member’s nominated emergency contact.</w:t>
      </w:r>
    </w:p>
    <w:p>
      <w:pPr>
        <w:pStyle w:val="ListParagraph"/>
        <w:numPr>
          <w:ilvl w:val="0"/>
          <w:numId w:val="3"/>
        </w:numPr>
        <w:spacing w:after="40" w:before="40"/>
      </w:pPr>
      <w:r>
        <w:rPr>
          <w:rFonts w:ascii="Arial" w:cs="Arial" w:eastAsia="Arial" w:hAnsi="Arial"/>
          <w:color w:val="2D2D2D"/>
          <w:sz w:val="20"/>
          <w:szCs w:val="20"/>
        </w:rPr>
        <w:t xml:space="preserve">The incident is logged and investigated. A Significant Event Analysis (SEA) is conducted for all activations of the escalation procedure.</w:t>
      </w:r>
    </w:p>
    <w:p>
      <w:pPr>
        <w:pStyle w:val="Heading2"/>
        <w:spacing w:after="80" w:before="240"/>
      </w:pPr>
      <w:r>
        <w:rPr>
          <w:rFonts w:ascii="Arial" w:cs="Arial" w:eastAsia="Arial" w:hAnsi="Arial"/>
          <w:b/>
          <w:bCs/>
          <w:color w:val="0B1D3A"/>
          <w:sz w:val="24"/>
          <w:szCs w:val="24"/>
        </w:rPr>
        <w:t xml:space="preserve">7.6 Violence, Aggression, and Threatening Behaviour</w:t>
      </w:r>
    </w:p>
    <w:p>
      <w:pPr>
        <w:spacing w:after="80" w:before="60"/>
        <w:jc w:val="both"/>
      </w:pPr>
      <w:r>
        <w:rPr>
          <w:rFonts w:ascii="Arial" w:cs="Arial" w:eastAsia="Arial" w:hAnsi="Arial"/>
          <w:color w:val="2D2D2D"/>
          <w:sz w:val="21"/>
          <w:szCs w:val="21"/>
        </w:rPr>
        <w:t xml:space="preserve">The practice operates a zero-tolerance approach to violence, aggression, and threatening behaviour towards staff. Where a patient or household member has a history of violence or threatening behaviour, this shall be flagged on the clinical system and communicated to the clinician before any home visit.</w:t>
      </w:r>
    </w:p>
    <w:p>
      <w:pPr>
        <w:spacing w:after="80" w:before="60"/>
        <w:jc w:val="both"/>
      </w:pPr>
      <w:r>
        <w:rPr>
          <w:rFonts w:ascii="Arial" w:cs="Arial" w:eastAsia="Arial" w:hAnsi="Arial"/>
          <w:color w:val="2D2D2D"/>
          <w:sz w:val="21"/>
          <w:szCs w:val="21"/>
        </w:rPr>
        <w:t xml:space="preserve">Clinicians shall not be required to visit premises where the risk of violence is assessed as high. In such cases, alternative arrangements shall be made (e.g. accompanied visit, appointment at the practice, referral to another service, or telephone/video consultation).</w:t>
      </w:r>
    </w:p>
    <w:p>
      <w:pPr>
        <w:spacing w:after="80" w:before="60"/>
        <w:jc w:val="both"/>
      </w:pPr>
      <w:r>
        <w:rPr>
          <w:rFonts w:ascii="Arial" w:cs="Arial" w:eastAsia="Arial" w:hAnsi="Arial"/>
          <w:color w:val="2D2D2D"/>
          <w:sz w:val="21"/>
          <w:szCs w:val="21"/>
        </w:rPr>
        <w:t xml:space="preserve">All incidents of violence, aggression, or threatening behaviour shall be reported, investigated, and recorded. Where appropriate, the practice shall apply its Violent Patient Warning Scheme and liaise with NHS England regarding removal of the patient from the practice list.</w:t>
      </w:r>
    </w:p>
    <w:p>
      <w:pPr>
        <w:pStyle w:val="Heading2"/>
        <w:spacing w:after="80" w:before="240"/>
      </w:pPr>
      <w:r>
        <w:rPr>
          <w:rFonts w:ascii="Arial" w:cs="Arial" w:eastAsia="Arial" w:hAnsi="Arial"/>
          <w:b/>
          <w:bCs/>
          <w:color w:val="0B1D3A"/>
          <w:sz w:val="24"/>
          <w:szCs w:val="24"/>
        </w:rPr>
        <w:t xml:space="preserve">7.7 Staff Wellbeing and Support</w:t>
      </w:r>
    </w:p>
    <w:p>
      <w:pPr>
        <w:spacing w:after="80" w:before="60"/>
        <w:jc w:val="both"/>
      </w:pPr>
      <w:r>
        <w:rPr>
          <w:rFonts w:ascii="Arial" w:cs="Arial" w:eastAsia="Arial" w:hAnsi="Arial"/>
          <w:color w:val="2D2D2D"/>
          <w:sz w:val="21"/>
          <w:szCs w:val="21"/>
        </w:rPr>
        <w:t xml:space="preserve">The practice recognises that lone working can impact staff wellbeing, particularly where workers experience isolation, anxiety about personal safety, or exposure to traumatic or distressing situations during home visits.</w:t>
      </w:r>
    </w:p>
    <w:p>
      <w:pPr>
        <w:spacing w:after="80" w:before="60"/>
        <w:jc w:val="both"/>
      </w:pPr>
      <w:r>
        <w:rPr>
          <w:rFonts w:ascii="Arial" w:cs="Arial" w:eastAsia="Arial" w:hAnsi="Arial"/>
          <w:color w:val="2D2D2D"/>
          <w:sz w:val="21"/>
          <w:szCs w:val="21"/>
        </w:rPr>
        <w:t xml:space="preserve">Staff who have experienced a threatening or traumatic incident while lone working shall be offered: immediate debrief with a senior colleague; time away from lone working duties if needed; referral to the practice’s occupational health service or Employee Assistance Programme; and follow-up support as appropriate.</w:t>
      </w:r>
    </w:p>
    <w:p>
      <w:pPr>
        <w:pStyle w:val="Heading2"/>
        <w:spacing w:after="80" w:before="240"/>
      </w:pPr>
      <w:r>
        <w:rPr>
          <w:rFonts w:ascii="Arial" w:cs="Arial" w:eastAsia="Arial" w:hAnsi="Arial"/>
          <w:b/>
          <w:bCs/>
          <w:color w:val="0B1D3A"/>
          <w:sz w:val="24"/>
          <w:szCs w:val="24"/>
        </w:rPr>
        <w:t xml:space="preserve">7.8 Monitoring and Review of Lone Working Arrangements</w:t>
      </w:r>
    </w:p>
    <w:p>
      <w:pPr>
        <w:spacing w:after="80" w:before="60"/>
        <w:jc w:val="both"/>
      </w:pPr>
      <w:r>
        <w:rPr>
          <w:rFonts w:ascii="Arial" w:cs="Arial" w:eastAsia="Arial" w:hAnsi="Arial"/>
          <w:color w:val="2D2D2D"/>
          <w:sz w:val="21"/>
          <w:szCs w:val="21"/>
        </w:rPr>
        <w:t xml:space="preserve">Lone working arrangements shall be monitored on an ongoing basis. The Practice Manager shall review the home visit log weekly to ensure protocols are being followed. Any near-misses, incidents, or concerns shall be investigated and lessons learned incorporated into the risk assessment and procedures.</w:t>
      </w:r>
    </w:p>
    <w:p>
      <w:pPr>
        <w:spacing w:after="80" w:before="60"/>
        <w:jc w:val="both"/>
      </w:pPr>
      <w:r>
        <w:rPr>
          <w:rFonts w:ascii="Arial" w:cs="Arial" w:eastAsia="Arial" w:hAnsi="Arial"/>
          <w:color w:val="2D2D2D"/>
          <w:sz w:val="21"/>
          <w:szCs w:val="21"/>
        </w:rPr>
        <w:t xml:space="preserve">Staff shall be consulted on lone working arrangements and given the opportunity to raise concerns or suggest improvements through team meetings, one-to-one supervision, and anonymous feedback.</w:t>
      </w:r>
    </w:p>
    <w:p>
      <w:pPr>
        <w:pStyle w:val="Heading1"/>
        <w:spacing w:after="120" w:before="360"/>
      </w:pPr>
      <w:r>
        <w:rPr>
          <w:rFonts w:ascii="Arial" w:cs="Arial" w:eastAsia="Arial" w:hAnsi="Arial"/>
          <w:b/>
          <w:bCs/>
          <w:color w:val="0B1D3A"/>
          <w:sz w:val="28"/>
          <w:szCs w:val="28"/>
        </w:rPr>
        <w:t xml:space="preserve">8. Training and Awareness</w:t>
      </w:r>
    </w:p>
    <w:p>
      <w:pPr>
        <w:pStyle w:val="ListParagraph"/>
        <w:numPr>
          <w:ilvl w:val="0"/>
          <w:numId w:val="2"/>
        </w:numPr>
        <w:spacing w:after="40" w:before="40"/>
      </w:pPr>
      <w:r>
        <w:rPr>
          <w:rFonts w:ascii="Arial" w:cs="Arial" w:eastAsia="Arial" w:hAnsi="Arial"/>
          <w:color w:val="2D2D2D"/>
          <w:sz w:val="20"/>
          <w:szCs w:val="20"/>
        </w:rPr>
        <w:t xml:space="preserve">All staff who may lone work shall receive specific lone working training at induction and annually thereafter, covering: this policy and procedures, dynamic risk assessment, use of lone worker devices, escalation procedures, and conflict resolution.</w:t>
      </w:r>
    </w:p>
    <w:p>
      <w:pPr>
        <w:pStyle w:val="ListParagraph"/>
        <w:numPr>
          <w:ilvl w:val="0"/>
          <w:numId w:val="2"/>
        </w:numPr>
        <w:spacing w:after="40" w:before="40"/>
      </w:pPr>
      <w:r>
        <w:rPr>
          <w:rFonts w:ascii="Arial" w:cs="Arial" w:eastAsia="Arial" w:hAnsi="Arial"/>
          <w:color w:val="2D2D2D"/>
          <w:sz w:val="20"/>
          <w:szCs w:val="20"/>
        </w:rPr>
        <w:t xml:space="preserve">Clinicians conducting home visits shall receive additional training in personal safety awareness, de-escalation techniques, and breakaway skills. This training shall be refreshed at least every three years.</w:t>
      </w:r>
    </w:p>
    <w:p>
      <w:pPr>
        <w:pStyle w:val="ListParagraph"/>
        <w:numPr>
          <w:ilvl w:val="0"/>
          <w:numId w:val="2"/>
        </w:numPr>
        <w:spacing w:after="40" w:before="40"/>
      </w:pPr>
      <w:r>
        <w:rPr>
          <w:rFonts w:ascii="Arial" w:cs="Arial" w:eastAsia="Arial" w:hAnsi="Arial"/>
          <w:color w:val="2D2D2D"/>
          <w:sz w:val="20"/>
          <w:szCs w:val="20"/>
        </w:rPr>
        <w:t xml:space="preserve">Reception and administrative staff involved in managing the home visit log and buddy system shall be trained in the home visit protocol and escalation procedures.</w:t>
      </w:r>
    </w:p>
    <w:p>
      <w:pPr>
        <w:pStyle w:val="ListParagraph"/>
        <w:numPr>
          <w:ilvl w:val="0"/>
          <w:numId w:val="2"/>
        </w:numPr>
        <w:spacing w:after="40" w:before="40"/>
      </w:pPr>
      <w:r>
        <w:rPr>
          <w:rFonts w:ascii="Arial" w:cs="Arial" w:eastAsia="Arial" w:hAnsi="Arial"/>
          <w:color w:val="2D2D2D"/>
          <w:sz w:val="20"/>
          <w:szCs w:val="20"/>
        </w:rPr>
        <w:t xml:space="preserve">All staff shall be aware of the practice’s zero-tolerance policy on violence and aggression and the procedure for reporting incidents.</w:t>
      </w:r>
    </w:p>
    <w:p>
      <w:pPr>
        <w:pStyle w:val="ListParagraph"/>
        <w:numPr>
          <w:ilvl w:val="0"/>
          <w:numId w:val="2"/>
        </w:numPr>
        <w:spacing w:after="40" w:before="40"/>
      </w:pPr>
      <w:r>
        <w:rPr>
          <w:rFonts w:ascii="Arial" w:cs="Arial" w:eastAsia="Arial" w:hAnsi="Arial"/>
          <w:color w:val="2D2D2D"/>
          <w:sz w:val="20"/>
          <w:szCs w:val="20"/>
        </w:rPr>
        <w:t xml:space="preserve">Training records shall be maintained by the Practice Manager and reported as part of the quarterly health and safety monitoring.</w:t>
      </w:r>
    </w:p>
    <w:p>
      <w:pPr>
        <w:pStyle w:val="Heading1"/>
        <w:spacing w:after="120" w:before="360"/>
      </w:pPr>
      <w:r>
        <w:rPr>
          <w:rFonts w:ascii="Arial" w:cs="Arial" w:eastAsia="Arial" w:hAnsi="Arial"/>
          <w:b/>
          <w:bCs/>
          <w:color w:val="0B1D3A"/>
          <w:sz w:val="28"/>
          <w:szCs w:val="28"/>
        </w:rPr>
        <w:t xml:space="preserve">9. Monitoring and Compliance</w:t>
      </w:r>
    </w:p>
    <w:p>
      <w:pPr>
        <w:spacing w:after="80" w:before="60"/>
        <w:jc w:val="both"/>
      </w:pPr>
      <w:r>
        <w:rPr>
          <w:rFonts w:ascii="Arial" w:cs="Arial" w:eastAsia="Arial" w:hAnsi="Arial"/>
          <w:color w:val="2D2D2D"/>
          <w:sz w:val="21"/>
          <w:szCs w:val="21"/>
        </w:rPr>
        <w:t xml:space="preserve">Compliance with this policy shall be monitored through the following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6"/>
      </w:tblGrid>
      <w:tr>
        <w:tc>
          <w:tcPr>
            <w:tcW w:type="dxa" w:w="3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Monitoring Activity</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Frequency</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Responsible Person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Home visit log compliance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Weekly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Lone worker device functionality check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Lone working incident and near-miss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 H&amp;S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Lone working risk assessment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H&amp;S Lead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Staff consultation on lone working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Full lone working policy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 Senior Partner</w:t>
            </w:r>
          </w:p>
        </w:tc>
      </w:tr>
    </w:tbl>
    <w:p>
      <w:pPr>
        <w:pStyle w:val="Heading1"/>
        <w:spacing w:after="120" w:before="360"/>
      </w:pPr>
      <w:r>
        <w:rPr>
          <w:rFonts w:ascii="Arial" w:cs="Arial" w:eastAsia="Arial" w:hAnsi="Arial"/>
          <w:b/>
          <w:bCs/>
          <w:color w:val="0B1D3A"/>
          <w:sz w:val="28"/>
          <w:szCs w:val="28"/>
        </w:rPr>
        <w:t xml:space="preserve">10. Related Policies and Documents</w:t>
      </w:r>
    </w:p>
    <w:p>
      <w:pPr>
        <w:pStyle w:val="ListParagraph"/>
        <w:numPr>
          <w:ilvl w:val="0"/>
          <w:numId w:val="2"/>
        </w:numPr>
        <w:spacing w:after="40" w:before="40"/>
      </w:pPr>
      <w:r>
        <w:rPr>
          <w:rFonts w:ascii="Arial" w:cs="Arial" w:eastAsia="Arial" w:hAnsi="Arial"/>
          <w:color w:val="2D2D2D"/>
          <w:sz w:val="20"/>
          <w:szCs w:val="20"/>
        </w:rPr>
        <w:t xml:space="preserve">BS-RA-LW-006 Lone Working Risk Assessment</w:t>
      </w:r>
    </w:p>
    <w:p>
      <w:pPr>
        <w:pStyle w:val="ListParagraph"/>
        <w:numPr>
          <w:ilvl w:val="0"/>
          <w:numId w:val="2"/>
        </w:numPr>
        <w:spacing w:after="40" w:before="40"/>
      </w:pPr>
      <w:r>
        <w:rPr>
          <w:rFonts w:ascii="Arial" w:cs="Arial" w:eastAsia="Arial" w:hAnsi="Arial"/>
          <w:color w:val="2D2D2D"/>
          <w:sz w:val="20"/>
          <w:szCs w:val="20"/>
        </w:rPr>
        <w:t xml:space="preserve">BS-RA-WVA-002 Workplace Violence and Aggression Risk Assessment</w:t>
      </w:r>
    </w:p>
    <w:p>
      <w:pPr>
        <w:pStyle w:val="ListParagraph"/>
        <w:numPr>
          <w:ilvl w:val="0"/>
          <w:numId w:val="2"/>
        </w:numPr>
        <w:spacing w:after="40" w:before="40"/>
      </w:pPr>
      <w:r>
        <w:rPr>
          <w:rFonts w:ascii="Arial" w:cs="Arial" w:eastAsia="Arial" w:hAnsi="Arial"/>
          <w:color w:val="2D2D2D"/>
          <w:sz w:val="20"/>
          <w:szCs w:val="20"/>
        </w:rPr>
        <w:t xml:space="preserve">BS-POL-HS-001 Health and Safety Policy</w:t>
      </w:r>
    </w:p>
    <w:p>
      <w:pPr>
        <w:pStyle w:val="ListParagraph"/>
        <w:numPr>
          <w:ilvl w:val="0"/>
          <w:numId w:val="2"/>
        </w:numPr>
        <w:spacing w:after="40" w:before="40"/>
      </w:pPr>
      <w:r>
        <w:rPr>
          <w:rFonts w:ascii="Arial" w:cs="Arial" w:eastAsia="Arial" w:hAnsi="Arial"/>
          <w:color w:val="2D2D2D"/>
          <w:sz w:val="20"/>
          <w:szCs w:val="20"/>
        </w:rPr>
        <w:t xml:space="preserve">Practice Home Visit Protocol</w:t>
      </w:r>
    </w:p>
    <w:p>
      <w:pPr>
        <w:pStyle w:val="ListParagraph"/>
        <w:numPr>
          <w:ilvl w:val="0"/>
          <w:numId w:val="2"/>
        </w:numPr>
        <w:spacing w:after="40" w:before="40"/>
      </w:pPr>
      <w:r>
        <w:rPr>
          <w:rFonts w:ascii="Arial" w:cs="Arial" w:eastAsia="Arial" w:hAnsi="Arial"/>
          <w:color w:val="2D2D2D"/>
          <w:sz w:val="20"/>
          <w:szCs w:val="20"/>
        </w:rPr>
        <w:t xml:space="preserve">Practice Violent Patient Warning Scheme</w:t>
      </w:r>
    </w:p>
    <w:p>
      <w:pPr>
        <w:pStyle w:val="ListParagraph"/>
        <w:numPr>
          <w:ilvl w:val="0"/>
          <w:numId w:val="2"/>
        </w:numPr>
        <w:spacing w:after="40" w:before="40"/>
      </w:pPr>
      <w:r>
        <w:rPr>
          <w:rFonts w:ascii="Arial" w:cs="Arial" w:eastAsia="Arial" w:hAnsi="Arial"/>
          <w:color w:val="2D2D2D"/>
          <w:sz w:val="20"/>
          <w:szCs w:val="20"/>
        </w:rPr>
        <w:t xml:space="preserve">Practice Zero Tolerance Statement</w:t>
      </w:r>
    </w:p>
    <w:p>
      <w:pPr>
        <w:pStyle w:val="Heading1"/>
        <w:spacing w:after="120" w:before="360"/>
      </w:pPr>
      <w:r>
        <w:rPr>
          <w:rFonts w:ascii="Arial" w:cs="Arial" w:eastAsia="Arial" w:hAnsi="Arial"/>
          <w:b/>
          <w:bCs/>
          <w:color w:val="0B1D3A"/>
          <w:sz w:val="28"/>
          <w:szCs w:val="28"/>
        </w:rPr>
        <w:t xml:space="preserve">11. Equality and Diversity Statement</w:t>
      </w:r>
    </w:p>
    <w:p>
      <w:pPr>
        <w:spacing w:after="80" w:before="60"/>
        <w:jc w:val="both"/>
      </w:pPr>
      <w:r>
        <w:rPr>
          <w:rFonts w:ascii="Arial" w:cs="Arial" w:eastAsia="Arial" w:hAnsi="Arial"/>
          <w:color w:val="2D2D2D"/>
          <w:sz w:val="21"/>
          <w:szCs w:val="21"/>
        </w:rPr>
        <w:t xml:space="preserve">This policy has been subject to an Equality Impact Assessment. The practice is committed to ensuring that this policy is applied fairly and consistently to all persons regardless of age, disability, gender reassignment, marriage and civil partnership, pregnancy and maternity, race, religion or belief, sex, or sexual orientation, in accordance with the Equality Act 2010. Reasonable adjustments will be made for staff and patients with protected characteristics where required.</w:t>
      </w:r>
    </w:p>
    <w:p>
      <w:pPr>
        <w:pStyle w:val="Heading1"/>
        <w:spacing w:after="120" w:before="360"/>
      </w:pPr>
      <w:r>
        <w:rPr>
          <w:rFonts w:ascii="Arial" w:cs="Arial" w:eastAsia="Arial" w:hAnsi="Arial"/>
          <w:b/>
          <w:bCs/>
          <w:color w:val="0B1D3A"/>
          <w:sz w:val="28"/>
          <w:szCs w:val="28"/>
        </w:rPr>
        <w:t xml:space="preserve">12. Review</w:t>
      </w:r>
    </w:p>
    <w:p>
      <w:pPr>
        <w:spacing w:after="80" w:before="60"/>
        <w:jc w:val="both"/>
      </w:pPr>
      <w:r>
        <w:rPr>
          <w:rFonts w:ascii="Arial" w:cs="Arial" w:eastAsia="Arial" w:hAnsi="Arial"/>
          <w:color w:val="2D2D2D"/>
          <w:sz w:val="21"/>
          <w:szCs w:val="21"/>
        </w:rPr>
        <w:t xml:space="preserve">This policy shall be reviewed at least annually, or sooner in the event of changes to legislation, regulatory guidance, national standards, significant incidents, or organisational changes. The next scheduled review date is [Insert Date – 12 months from approval]. The Practice Manager is responsible for initiating the review process and ensuring updated versions are disseminated to all relevant staff.</w:t>
      </w:r>
    </w:p>
    <w:p>
      <w:r>
        <w:br w:type="page"/>
      </w:r>
    </w:p>
    <w:p>
      <w:pPr>
        <w:pStyle w:val="Heading1"/>
        <w:spacing w:after="120" w:before="360"/>
      </w:pPr>
      <w:r>
        <w:rPr>
          <w:rFonts w:ascii="Arial" w:cs="Arial" w:eastAsia="Arial" w:hAnsi="Arial"/>
          <w:b/>
          <w:bCs/>
          <w:color w:val="0B1D3A"/>
          <w:sz w:val="28"/>
          <w:szCs w:val="28"/>
        </w:rPr>
        <w:t xml:space="preserve">13. Approval and Sign-Off</w:t>
      </w:r>
    </w:p>
    <w:p>
      <w:pPr>
        <w:spacing w:after="80" w:before="60"/>
        <w:jc w:val="both"/>
      </w:pPr>
      <w:r>
        <w:rPr>
          <w:rFonts w:ascii="Arial" w:cs="Arial" w:eastAsia="Arial" w:hAnsi="Arial"/>
          <w:color w:val="2D2D2D"/>
          <w:sz w:val="21"/>
          <w:szCs w:val="21"/>
        </w:rPr>
        <w:t xml:space="preserve">This policy has been reviewed and approved by the following authorised persons:</w:t>
      </w:r>
    </w:p>
    <w:p>
      <w:pPr>
        <w:spacing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2600"/>
        <w:gridCol w:w="2406"/>
      </w:tblGrid>
      <w:tr>
        <w:tc>
          <w:tcPr>
            <w:tcW w:type="dxa" w:w="31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Print Name</w:t>
            </w:r>
          </w:p>
        </w:tc>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Signature</w:t>
            </w:r>
          </w:p>
        </w:tc>
        <w:tc>
          <w:tcPr>
            <w:tcW w:type="dxa" w:w="24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Policy Author: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Lead GP: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IG Lead: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200"/>
      </w:pPr>
    </w:p>
    <w:p>
      <w:pPr>
        <w:pBdr>
          <w:bottom w:val="single" w:color="D4AF37" w:sz="8" w:space="1"/>
        </w:pBdr>
        <w:spacing w:after="160" w:before="160"/>
      </w:pPr>
    </w:p>
    <w:p>
      <w:pPr>
        <w:spacing w:after="100" w:before="160"/>
      </w:pPr>
      <w:r>
        <w:rPr>
          <w:rFonts w:ascii="Arial" w:cs="Arial" w:eastAsia="Arial" w:hAnsi="Arial"/>
          <w:b/>
          <w:bCs/>
          <w:color w:val="0B1D3A"/>
          <w:sz w:val="24"/>
          <w:szCs w:val="24"/>
        </w:rPr>
        <w:t xml:space="preserve">Version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6"/>
      </w:tblGrid>
      <w:tr>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18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Summary of Changes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1.0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Initial issue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after="200" w:before="60"/>
        <w:jc w:val="center"/>
      </w:pPr>
      <w:r>
        <w:rPr>
          <w:rFonts w:ascii="Arial" w:cs="Arial" w:eastAsia="Arial" w:hAnsi="Arial"/>
          <w:i/>
          <w:iCs/>
          <w:color w:val="6B7280"/>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1906" w:h="16838" w:orient="portrait"/>
      <w:pgMar w:top="16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3" w:space="1"/>
      </w:pBdr>
      <w:spacing w:before="60"/>
    </w:pPr>
    <w:r>
      <w:rPr>
        <w:rFonts w:ascii="Arial" w:cs="Arial" w:eastAsia="Arial" w:hAnsi="Arial"/>
        <w:color w:val="6B7280"/>
        <w:sz w:val="14"/>
        <w:szCs w:val="14"/>
      </w:rPr>
      <w:t xml:space="preserve">BS-POL-LW-006  |  v1.0  |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r>
      <w:rPr>
        <w:rFonts w:ascii="Arial" w:cs="Arial" w:eastAsia="Arial" w:hAnsi="Arial"/>
        <w:color w:val="6B7280"/>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rPr>
        <w:rFonts w:ascii="Arial" w:cs="Arial" w:eastAsia="Arial" w:hAnsi="Arial"/>
        <w:b/>
        <w:bCs/>
        <w:color w:val="0B1D3A"/>
        <w:sz w:val="22"/>
        <w:szCs w:val="22"/>
      </w:rPr>
      <w:t xml:space="preserve">BARKER SCOTT</w:t>
    </w:r>
    <w:r>
      <w:rPr>
        <w:rFonts w:ascii="Arial" w:cs="Arial" w:eastAsia="Arial" w:hAnsi="Arial"/>
        <w:color w:val="D4AF37"/>
        <w:sz w:val="18"/>
        <w:szCs w:val="18"/>
      </w:rPr>
      <w:t xml:space="preserve">  |  </w:t>
    </w:r>
    <w:r>
      <w:rPr>
        <w:rFonts w:ascii="Arial" w:cs="Arial" w:eastAsia="Arial" w:hAnsi="Arial"/>
        <w:color w:val="6B7280"/>
        <w:sz w:val="18"/>
        <w:szCs w:val="18"/>
      </w:rPr>
      <w:t xml:space="preserve">Health &amp; Safety Consultants</w:t>
    </w:r>
  </w:p>
  <w:p>
    <w:pPr>
      <w:pBdr>
        <w:bottom w:val="single" w:color="D4AF37" w:sz="6" w:space="1"/>
      </w:pBdr>
      <w:spacing w:after="60"/>
    </w:pPr>
    <w:r>
      <w:rPr>
        <w:rFonts w:ascii="Arial" w:cs="Arial" w:eastAsia="Arial" w:hAnsi="Arial"/>
        <w:i/>
        <w:iCs/>
        <w:color w:val="6B7280"/>
        <w:sz w:val="15"/>
        <w:szCs w:val="15"/>
      </w:rPr>
      <w:t xml:space="preserve">BS-POL-LW-006  |  Lone Working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D3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2026-05-15T12:48:44.098Z</dcterms:created>
  <dcterms:modified xsi:type="dcterms:W3CDTF">2026-05-15T12:48:44.098Z</dcterms:modified>
</cp:coreProperties>
</file>

<file path=docProps/custom.xml><?xml version="1.0" encoding="utf-8"?>
<Properties xmlns="http://schemas.openxmlformats.org/officeDocument/2006/custom-properties" xmlns:vt="http://schemas.openxmlformats.org/officeDocument/2006/docPropsVTypes"/>
</file>