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MEDICINES MANAGEMENT</w:t>
      </w:r>
    </w:p>
    <w:p>
      <w:pPr>
        <w:spacing w:after="20"/>
        <w:jc w:val="center"/>
      </w:pPr>
      <w:r>
        <w:rPr>
          <w:rFonts w:ascii="Arial" w:cs="Arial" w:eastAsia="Arial" w:hAnsi="Arial"/>
          <w:i/>
          <w:iCs/>
          <w:color w:val="6B7280"/>
          <w:sz w:val="22"/>
          <w:szCs w:val="22"/>
        </w:rPr>
        <w:t xml:space="preserve">Safe prescribing, dispensing, storage, and disposal of medicines in general practice</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BS-POL-MM-007</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is committed to ensuring the safe, effective, and evidence-based management of medicines across all aspects of prescribing, dispensing, storage, administration, and disposal. Medicines management is integral to patient safety and the practice will comply with all relevant legislation, national guidance, and professional standards to minimise the risk of medicines-related harm.</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establishes the practice’s framework for managing medicines safely, defines the standards and procedures to be followed, and sets out the roles and responsibilities for all aspects of the medicines management cycle.</w:t>
      </w:r>
    </w:p>
    <w:p>
      <w:pPr>
        <w:spacing w:after="80" w:before="60"/>
        <w:jc w:val="both"/>
      </w:pPr>
      <w:r>
        <w:rPr>
          <w:rFonts w:ascii="Arial" w:cs="Arial" w:eastAsia="Arial" w:hAnsi="Arial"/>
          <w:color w:val="2D2D2D"/>
          <w:sz w:val="21"/>
          <w:szCs w:val="21"/>
        </w:rPr>
        <w:t xml:space="preserve">The policy ensures compliance with the Human Medicines Regulations 2012, the Misuse of Drugs Act 1971 and associated regulations, the Health and Social Care Act 2008, CQC Regulation 12 (Safe Care and Treatment), and NICE guidance on medicines optimisation.</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prescribing activities, including repeat prescribing, acute prescribing, and prescribing by authorised non-medical prescribers</w:t>
      </w:r>
    </w:p>
    <w:p>
      <w:pPr>
        <w:pStyle w:val="ListParagraph"/>
        <w:numPr>
          <w:ilvl w:val="0"/>
          <w:numId w:val="2"/>
        </w:numPr>
        <w:spacing w:after="40" w:before="40"/>
      </w:pPr>
      <w:r>
        <w:rPr>
          <w:rFonts w:ascii="Arial" w:cs="Arial" w:eastAsia="Arial" w:hAnsi="Arial"/>
          <w:color w:val="2D2D2D"/>
          <w:sz w:val="20"/>
          <w:szCs w:val="20"/>
        </w:rPr>
        <w:t xml:space="preserve">Storage, handling, and disposal of all medicines held on the premises, including vaccines, emergency drugs, and controlled drugs</w:t>
      </w:r>
    </w:p>
    <w:p>
      <w:pPr>
        <w:pStyle w:val="ListParagraph"/>
        <w:numPr>
          <w:ilvl w:val="0"/>
          <w:numId w:val="2"/>
        </w:numPr>
        <w:spacing w:after="40" w:before="40"/>
      </w:pPr>
      <w:r>
        <w:rPr>
          <w:rFonts w:ascii="Arial" w:cs="Arial" w:eastAsia="Arial" w:hAnsi="Arial"/>
          <w:color w:val="2D2D2D"/>
          <w:sz w:val="20"/>
          <w:szCs w:val="20"/>
        </w:rPr>
        <w:t xml:space="preserve">Administration of medicines by clinical staff, including immunisation, injectable treatments, and in-practice drug administration</w:t>
      </w:r>
    </w:p>
    <w:p>
      <w:pPr>
        <w:pStyle w:val="ListParagraph"/>
        <w:numPr>
          <w:ilvl w:val="0"/>
          <w:numId w:val="2"/>
        </w:numPr>
        <w:spacing w:after="40" w:before="40"/>
      </w:pPr>
      <w:r>
        <w:rPr>
          <w:rFonts w:ascii="Arial" w:cs="Arial" w:eastAsia="Arial" w:hAnsi="Arial"/>
          <w:color w:val="2D2D2D"/>
          <w:sz w:val="20"/>
          <w:szCs w:val="20"/>
        </w:rPr>
        <w:t xml:space="preserve">All staff involved in the medicines management process, including GPs, nurses, pharmacists, dispensary staff (if applicable), healthcare assistants, and administrative staff processing prescription requests</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Controlled Drug (CD)</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substance controlled under the Misuse of Drugs Act 1971, subject to additional legal requirements for prescribing, supply, storage, record-keeping, and destruction.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Patient Group Direction (PGD)</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written direction that allows specified healthcare professionals to supply or administer a named medicine to patients who meet defined clinical criteria, without an individual prescription.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Medicines Optimisation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 approach that ensures medicines are used safely, effectively, and in accordance with patient preferences, as promoted by NICE NG5 (Medicines Optimisation, 2015).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Repeat Prescribing</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issuing of subsequent prescriptions for medicines previously prescribed for a continuing condition, managed through a formal authorisation and review process.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MHRA</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Medicines and Healthcare products Regulatory Agency – the UK regulator for medicines, medical devices, and blood components.</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Human Medicines Regulations 2012 (SI 2012/1916)</w:t>
      </w:r>
    </w:p>
    <w:p>
      <w:pPr>
        <w:pStyle w:val="ListParagraph"/>
        <w:numPr>
          <w:ilvl w:val="0"/>
          <w:numId w:val="2"/>
        </w:numPr>
        <w:spacing w:after="40" w:before="40"/>
      </w:pPr>
      <w:r>
        <w:rPr>
          <w:rFonts w:ascii="Arial" w:cs="Arial" w:eastAsia="Arial" w:hAnsi="Arial"/>
          <w:color w:val="2D2D2D"/>
          <w:sz w:val="20"/>
          <w:szCs w:val="20"/>
        </w:rPr>
        <w:t xml:space="preserve">Misuse of Drugs Act 1971</w:t>
      </w:r>
    </w:p>
    <w:p>
      <w:pPr>
        <w:pStyle w:val="ListParagraph"/>
        <w:numPr>
          <w:ilvl w:val="0"/>
          <w:numId w:val="2"/>
        </w:numPr>
        <w:spacing w:after="40" w:before="40"/>
      </w:pPr>
      <w:r>
        <w:rPr>
          <w:rFonts w:ascii="Arial" w:cs="Arial" w:eastAsia="Arial" w:hAnsi="Arial"/>
          <w:color w:val="2D2D2D"/>
          <w:sz w:val="20"/>
          <w:szCs w:val="20"/>
        </w:rPr>
        <w:t xml:space="preserve">Misuse of Drugs Regulations 2001 (SI 2001/3998) (as amended)</w:t>
      </w:r>
    </w:p>
    <w:p>
      <w:pPr>
        <w:pStyle w:val="ListParagraph"/>
        <w:numPr>
          <w:ilvl w:val="0"/>
          <w:numId w:val="2"/>
        </w:numPr>
        <w:spacing w:after="40" w:before="40"/>
      </w:pPr>
      <w:r>
        <w:rPr>
          <w:rFonts w:ascii="Arial" w:cs="Arial" w:eastAsia="Arial" w:hAnsi="Arial"/>
          <w:color w:val="2D2D2D"/>
          <w:sz w:val="20"/>
          <w:szCs w:val="20"/>
        </w:rPr>
        <w:t xml:space="preserve">Misuse of Drugs (Safe Custody) Regulations 1973 (SI 1973/798)</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12 – Safe Care and Treatment)</w:t>
      </w:r>
    </w:p>
    <w:p>
      <w:pPr>
        <w:pStyle w:val="ListParagraph"/>
        <w:numPr>
          <w:ilvl w:val="0"/>
          <w:numId w:val="2"/>
        </w:numPr>
        <w:spacing w:after="40" w:before="40"/>
      </w:pPr>
      <w:r>
        <w:rPr>
          <w:rFonts w:ascii="Arial" w:cs="Arial" w:eastAsia="Arial" w:hAnsi="Arial"/>
          <w:color w:val="2D2D2D"/>
          <w:sz w:val="20"/>
          <w:szCs w:val="20"/>
        </w:rPr>
        <w:t xml:space="preserve">The Controlled Drugs (Supervision of Management and Use) Regulations 2013</w:t>
      </w:r>
    </w:p>
    <w:p>
      <w:pPr>
        <w:pStyle w:val="ListParagraph"/>
        <w:numPr>
          <w:ilvl w:val="0"/>
          <w:numId w:val="2"/>
        </w:numPr>
        <w:spacing w:after="40" w:before="40"/>
      </w:pPr>
      <w:r>
        <w:rPr>
          <w:rFonts w:ascii="Arial" w:cs="Arial" w:eastAsia="Arial" w:hAnsi="Arial"/>
          <w:color w:val="2D2D2D"/>
          <w:sz w:val="20"/>
          <w:szCs w:val="20"/>
        </w:rPr>
        <w:t xml:space="preserve">NHS (Pharmaceutical and Local Pharmaceutical Services) Regulations 2013</w:t>
      </w:r>
    </w:p>
    <w:p>
      <w:pPr>
        <w:pStyle w:val="ListParagraph"/>
        <w:numPr>
          <w:ilvl w:val="0"/>
          <w:numId w:val="2"/>
        </w:numPr>
        <w:spacing w:after="40" w:before="40"/>
      </w:pPr>
      <w:r>
        <w:rPr>
          <w:rFonts w:ascii="Arial" w:cs="Arial" w:eastAsia="Arial" w:hAnsi="Arial"/>
          <w:color w:val="2D2D2D"/>
          <w:sz w:val="20"/>
          <w:szCs w:val="20"/>
        </w:rPr>
        <w:t xml:space="preserve">NICE NG5 – Medicines Optimisation: The Safe and Effective Use of Medicines (2015)</w:t>
      </w:r>
    </w:p>
    <w:p>
      <w:pPr>
        <w:pStyle w:val="ListParagraph"/>
        <w:numPr>
          <w:ilvl w:val="0"/>
          <w:numId w:val="2"/>
        </w:numPr>
        <w:spacing w:after="40" w:before="40"/>
      </w:pPr>
      <w:r>
        <w:rPr>
          <w:rFonts w:ascii="Arial" w:cs="Arial" w:eastAsia="Arial" w:hAnsi="Arial"/>
          <w:color w:val="2D2D2D"/>
          <w:sz w:val="20"/>
          <w:szCs w:val="20"/>
        </w:rPr>
        <w:t xml:space="preserve">NICE CG76 – Medicines Adherence (2009)</w:t>
      </w:r>
    </w:p>
    <w:p>
      <w:pPr>
        <w:pStyle w:val="ListParagraph"/>
        <w:numPr>
          <w:ilvl w:val="0"/>
          <w:numId w:val="2"/>
        </w:numPr>
        <w:spacing w:after="40" w:before="40"/>
      </w:pPr>
      <w:r>
        <w:rPr>
          <w:rFonts w:ascii="Arial" w:cs="Arial" w:eastAsia="Arial" w:hAnsi="Arial"/>
          <w:color w:val="2D2D2D"/>
          <w:sz w:val="20"/>
          <w:szCs w:val="20"/>
        </w:rPr>
        <w:t xml:space="preserve">BNF (British National Formulary) prescribing guidance</w:t>
      </w:r>
    </w:p>
    <w:p>
      <w:pPr>
        <w:pStyle w:val="ListParagraph"/>
        <w:numPr>
          <w:ilvl w:val="0"/>
          <w:numId w:val="2"/>
        </w:numPr>
        <w:spacing w:after="40" w:before="40"/>
      </w:pPr>
      <w:r>
        <w:rPr>
          <w:rFonts w:ascii="Arial" w:cs="Arial" w:eastAsia="Arial" w:hAnsi="Arial"/>
          <w:color w:val="2D2D2D"/>
          <w:sz w:val="20"/>
          <w:szCs w:val="20"/>
        </w:rPr>
        <w:t xml:space="preserve">CQC Regulation 12 (Safe Care and Treatment) and associated guidance on medicines management</w:t>
      </w:r>
    </w:p>
    <w:p>
      <w:pPr>
        <w:pStyle w:val="ListParagraph"/>
        <w:numPr>
          <w:ilvl w:val="0"/>
          <w:numId w:val="2"/>
        </w:numPr>
        <w:spacing w:after="40" w:before="40"/>
      </w:pPr>
      <w:r>
        <w:rPr>
          <w:rFonts w:ascii="Arial" w:cs="Arial" w:eastAsia="Arial" w:hAnsi="Arial"/>
          <w:color w:val="2D2D2D"/>
          <w:sz w:val="20"/>
          <w:szCs w:val="20"/>
        </w:rPr>
        <w:t xml:space="preserve">NHS England Controlled Drugs Accountable Officer Guidance</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Controlled Drugs Accountable Officer (CDAO)</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Designated GP or pharmacist responsible for the safe management of controlled drugs within the practice; monitoring CD use; liaising with the NHS England CD Local Intelligence Network; reporting concerns.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Lead Prescriber / GP Partners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Ensuring prescribing is safe, evidence-based, and in accordance with formulary; authorising repeat prescribing protocols; reviewing high-risk prescribing; responding to MHRA safety alerts; clinical governance of prescribing.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Pharmacist / Prescribing Lead</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Conducting medicines reviews and reconciliation; managing repeat prescribing audits; supporting prescribers with formulary compliance; processing MHRA alerts; conducting prescribing safety searches.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Nurses / HCAs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Administering medicines and vaccinations in accordance with PGDs or prescriber direction; safe storage and handling of vaccines (cold chain); reporting medicines incidents.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Administrative / Reception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Processing repeat prescription requests; ensuring adequate prescription turnaround time; escalating clinical queries to prescriber; maintaining prescription collection and EPS systems.</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Prescribing Standards</w:t>
      </w:r>
    </w:p>
    <w:p>
      <w:pPr>
        <w:spacing w:after="80" w:before="60"/>
        <w:jc w:val="both"/>
      </w:pPr>
      <w:r>
        <w:rPr>
          <w:rFonts w:ascii="Arial" w:cs="Arial" w:eastAsia="Arial" w:hAnsi="Arial"/>
          <w:color w:val="2D2D2D"/>
          <w:sz w:val="21"/>
          <w:szCs w:val="21"/>
        </w:rPr>
        <w:t xml:space="preserve">All prescribing shall be carried out by qualified prescribers (GPs, authorised non-medical prescribers) within their scope of competence and in accordance with the current British National Formulary (BNF), local formulary, and NICE guidance.</w:t>
      </w:r>
    </w:p>
    <w:p>
      <w:pPr>
        <w:spacing w:after="80" w:before="60"/>
        <w:jc w:val="both"/>
      </w:pPr>
      <w:r>
        <w:rPr>
          <w:rFonts w:ascii="Arial" w:cs="Arial" w:eastAsia="Arial" w:hAnsi="Arial"/>
          <w:color w:val="2D2D2D"/>
          <w:sz w:val="21"/>
          <w:szCs w:val="21"/>
        </w:rPr>
        <w:t xml:space="preserve">High-risk medicines (including anticoagulants, insulin, opioids, methotrexate, lithium, and disease-modifying anti-rheumatic drugs) shall be subject to enhanced monitoring arrangements, including structured medication reviews at defined intervals and shared care protocols where applicable.</w:t>
      </w:r>
    </w:p>
    <w:p>
      <w:pPr>
        <w:spacing w:after="80" w:before="60"/>
        <w:jc w:val="both"/>
      </w:pPr>
      <w:r>
        <w:rPr>
          <w:rFonts w:ascii="Arial" w:cs="Arial" w:eastAsia="Arial" w:hAnsi="Arial"/>
          <w:color w:val="2D2D2D"/>
          <w:sz w:val="21"/>
          <w:szCs w:val="21"/>
        </w:rPr>
        <w:t xml:space="preserve">Prescriptions shall include: the patient’s full name, date of birth, and NHS number; the medicine name (generic name unless brand prescribing is clinically indicated); form, strength, dose, frequency, and quantity; route of administration; and any special instructions. Prescribers shall comply with the legal requirements for prescriptions set out in the Human Medicines Regulations 2012.</w:t>
      </w:r>
    </w:p>
    <w:p>
      <w:pPr>
        <w:pStyle w:val="Heading2"/>
        <w:spacing w:after="80" w:before="240"/>
      </w:pPr>
      <w:r>
        <w:rPr>
          <w:rFonts w:ascii="Arial" w:cs="Arial" w:eastAsia="Arial" w:hAnsi="Arial"/>
          <w:b/>
          <w:bCs/>
          <w:color w:val="0B1D3A"/>
          <w:sz w:val="24"/>
          <w:szCs w:val="24"/>
        </w:rPr>
        <w:t xml:space="preserve">7.2 Repeat Prescribing</w:t>
      </w:r>
    </w:p>
    <w:p>
      <w:pPr>
        <w:spacing w:after="80" w:before="60"/>
        <w:jc w:val="both"/>
      </w:pPr>
      <w:r>
        <w:rPr>
          <w:rFonts w:ascii="Arial" w:cs="Arial" w:eastAsia="Arial" w:hAnsi="Arial"/>
          <w:color w:val="2D2D2D"/>
          <w:sz w:val="21"/>
          <w:szCs w:val="21"/>
        </w:rPr>
        <w:t xml:space="preserve">Repeat prescribing shall be managed through a formal protocol that includes: authorisation of a repeat prescribing template by a GP; defined maximum number of repeat issues before a medication review is required (typically six months or 6 issues for standard medicines, shorter for high-risk medicines); and clearly documented review dates.</w:t>
      </w:r>
    </w:p>
    <w:p>
      <w:pPr>
        <w:spacing w:after="80" w:before="60"/>
        <w:jc w:val="both"/>
      </w:pPr>
      <w:r>
        <w:rPr>
          <w:rFonts w:ascii="Arial" w:cs="Arial" w:eastAsia="Arial" w:hAnsi="Arial"/>
          <w:color w:val="2D2D2D"/>
          <w:sz w:val="21"/>
          <w:szCs w:val="21"/>
        </w:rPr>
        <w:t xml:space="preserve">The Electronic Prescription Service (EPS) shall be used for all appropriate prescriptions. Patients shall be encouraged to use EPS nomination to improve safety and efficiency.</w:t>
      </w:r>
    </w:p>
    <w:p>
      <w:pPr>
        <w:spacing w:after="80" w:before="60"/>
        <w:jc w:val="both"/>
      </w:pPr>
      <w:r>
        <w:rPr>
          <w:rFonts w:ascii="Arial" w:cs="Arial" w:eastAsia="Arial" w:hAnsi="Arial"/>
          <w:color w:val="2D2D2D"/>
          <w:sz w:val="21"/>
          <w:szCs w:val="21"/>
        </w:rPr>
        <w:t xml:space="preserve">Repeat prescription requests shall be processed within 48 working hours. Requests for items not on the patient’s repeat list, or where the review date has passed, shall be referred to a prescriber for clinical decision.</w:t>
      </w:r>
    </w:p>
    <w:p>
      <w:pPr>
        <w:pStyle w:val="Heading2"/>
        <w:spacing w:after="80" w:before="240"/>
      </w:pPr>
      <w:r>
        <w:rPr>
          <w:rFonts w:ascii="Arial" w:cs="Arial" w:eastAsia="Arial" w:hAnsi="Arial"/>
          <w:b/>
          <w:bCs/>
          <w:color w:val="0B1D3A"/>
          <w:sz w:val="24"/>
          <w:szCs w:val="24"/>
        </w:rPr>
        <w:t xml:space="preserve">7.3 Storage of Medicines</w:t>
      </w:r>
    </w:p>
    <w:p>
      <w:pPr>
        <w:spacing w:after="80" w:before="60"/>
        <w:jc w:val="both"/>
      </w:pPr>
      <w:r>
        <w:rPr>
          <w:rFonts w:ascii="Arial" w:cs="Arial" w:eastAsia="Arial" w:hAnsi="Arial"/>
          <w:color w:val="2D2D2D"/>
          <w:sz w:val="21"/>
          <w:szCs w:val="21"/>
        </w:rPr>
        <w:t xml:space="preserve">All medicines held on the premises shall be stored in accordance with the manufacturer’s recommendations and the Human Medicines Regulations 2012. A designated medicines storage area shall be maintained that is secure (locked when unattended), clean, dry, well-ventilated, and at an appropriate temperature.</w:t>
      </w:r>
    </w:p>
    <w:p>
      <w:pPr>
        <w:spacing w:after="80" w:before="60"/>
        <w:jc w:val="both"/>
      </w:pPr>
      <w:r>
        <w:rPr>
          <w:rFonts w:ascii="Arial" w:cs="Arial" w:eastAsia="Arial" w:hAnsi="Arial"/>
          <w:color w:val="2D2D2D"/>
          <w:sz w:val="21"/>
          <w:szCs w:val="21"/>
        </w:rPr>
        <w:t xml:space="preserve">Medicines requiring refrigeration (including vaccines) shall be stored in a dedicated pharmaceutical-grade refrigerator maintained between 2–8°C. The refrigerator temperature shall be recorded at least daily (working days) using a calibrated min/max thermometer or continuous digital monitoring. Temperature excursions shall be reported to the Practice Pharmacist and the relevant vaccine manufacturer, and affected stock quarantined pending advice.</w:t>
      </w:r>
    </w:p>
    <w:p>
      <w:pPr>
        <w:spacing w:after="80" w:before="60"/>
        <w:jc w:val="both"/>
      </w:pPr>
      <w:r>
        <w:rPr>
          <w:rFonts w:ascii="Arial" w:cs="Arial" w:eastAsia="Arial" w:hAnsi="Arial"/>
          <w:color w:val="2D2D2D"/>
          <w:sz w:val="21"/>
          <w:szCs w:val="21"/>
        </w:rPr>
        <w:t xml:space="preserve">An expiry date check shall be conducted monthly for all medicines and vaccines. Expired stock shall be removed from use, quarantined, and disposed of in accordance with waste regulations. A stock rotation system (first expiry, first out) shall be applied.</w:t>
      </w:r>
    </w:p>
    <w:p>
      <w:pPr>
        <w:pStyle w:val="Heading2"/>
        <w:spacing w:after="80" w:before="240"/>
      </w:pPr>
      <w:r>
        <w:rPr>
          <w:rFonts w:ascii="Arial" w:cs="Arial" w:eastAsia="Arial" w:hAnsi="Arial"/>
          <w:b/>
          <w:bCs/>
          <w:color w:val="0B1D3A"/>
          <w:sz w:val="24"/>
          <w:szCs w:val="24"/>
        </w:rPr>
        <w:t xml:space="preserve">7.4 Controlled Drugs Management</w:t>
      </w:r>
    </w:p>
    <w:p>
      <w:pPr>
        <w:spacing w:after="80" w:before="60"/>
        <w:jc w:val="both"/>
      </w:pPr>
      <w:r>
        <w:rPr>
          <w:rFonts w:ascii="Arial" w:cs="Arial" w:eastAsia="Arial" w:hAnsi="Arial"/>
          <w:color w:val="2D2D2D"/>
          <w:sz w:val="21"/>
          <w:szCs w:val="21"/>
        </w:rPr>
        <w:t xml:space="preserve">Controlled drugs shall be managed in strict compliance with the Misuse of Drugs Act 1971, the Misuse of Drugs Regulations 2001, and the Misuse of Drugs (Safe Custody) Regulations 1973.</w:t>
      </w:r>
    </w:p>
    <w:p>
      <w:pPr>
        <w:spacing w:after="80" w:before="60"/>
        <w:jc w:val="both"/>
      </w:pPr>
      <w:r>
        <w:rPr>
          <w:rFonts w:ascii="Arial" w:cs="Arial" w:eastAsia="Arial" w:hAnsi="Arial"/>
          <w:color w:val="2D2D2D"/>
          <w:sz w:val="21"/>
          <w:szCs w:val="21"/>
        </w:rPr>
        <w:t xml:space="preserve">Controlled drugs shall be stored in a locked controlled drugs cabinet complying with the Safe Custody Regulations (mounted to a wall or floor, of specified construction). Access shall be restricted to authorised persons only. A controlled drugs register (bound book) shall be maintained, recording receipt, supply, administration, and disposal of all Schedule 2 controlled drugs. Entries shall be made in ink, be indelible, and include the date, quantity, form, patient name (or disposal details), and the signature of the person making the entry.</w:t>
      </w:r>
    </w:p>
    <w:p>
      <w:pPr>
        <w:spacing w:after="80" w:before="60"/>
        <w:jc w:val="both"/>
      </w:pPr>
      <w:r>
        <w:rPr>
          <w:rFonts w:ascii="Arial" w:cs="Arial" w:eastAsia="Arial" w:hAnsi="Arial"/>
          <w:color w:val="2D2D2D"/>
          <w:sz w:val="21"/>
          <w:szCs w:val="21"/>
        </w:rPr>
        <w:t xml:space="preserve">A physical stock check of controlled drugs shall be conducted at least quarterly, reconciling stock against the register. Any discrepancy shall be reported to the CDAO immediately and investigated. Destruction of expired or unwanted controlled drugs shall be witnessed by an authorised person and recorded in the register.</w:t>
      </w:r>
    </w:p>
    <w:p>
      <w:pPr>
        <w:pStyle w:val="Heading2"/>
        <w:spacing w:after="80" w:before="240"/>
      </w:pPr>
      <w:r>
        <w:rPr>
          <w:rFonts w:ascii="Arial" w:cs="Arial" w:eastAsia="Arial" w:hAnsi="Arial"/>
          <w:b/>
          <w:bCs/>
          <w:color w:val="0B1D3A"/>
          <w:sz w:val="24"/>
          <w:szCs w:val="24"/>
        </w:rPr>
        <w:t xml:space="preserve">7.5 Vaccine Management and Cold Chain</w:t>
      </w:r>
    </w:p>
    <w:p>
      <w:pPr>
        <w:spacing w:after="80" w:before="60"/>
        <w:jc w:val="both"/>
      </w:pPr>
      <w:r>
        <w:rPr>
          <w:rFonts w:ascii="Arial" w:cs="Arial" w:eastAsia="Arial" w:hAnsi="Arial"/>
          <w:color w:val="2D2D2D"/>
          <w:sz w:val="21"/>
          <w:szCs w:val="21"/>
        </w:rPr>
        <w:t xml:space="preserve">The practice shall comply with the NHS England/PHE Green Book and Vaccine Incident Guidance for the storage, handling, and administration of vaccines. A designated Vaccine Lead shall be responsible for vaccine ordering, stock management, and cold chain integrity.</w:t>
      </w:r>
    </w:p>
    <w:p>
      <w:pPr>
        <w:spacing w:after="80" w:before="60"/>
        <w:jc w:val="both"/>
      </w:pPr>
      <w:r>
        <w:rPr>
          <w:rFonts w:ascii="Arial" w:cs="Arial" w:eastAsia="Arial" w:hAnsi="Arial"/>
          <w:color w:val="2D2D2D"/>
          <w:sz w:val="21"/>
          <w:szCs w:val="21"/>
        </w:rPr>
        <w:t xml:space="preserve">Cold chain compliance requirements include: daily temperature monitoring and recording; documented action plan for cold chain breaches; calibrated monitoring equipment; and a vaccine fridge that is dedicated (no food, drink, or clinical specimens), lockable, and fitted with a current calibration certificate.</w:t>
      </w:r>
    </w:p>
    <w:p>
      <w:pPr>
        <w:spacing w:after="80" w:before="60"/>
        <w:jc w:val="both"/>
      </w:pPr>
      <w:r>
        <w:rPr>
          <w:rFonts w:ascii="Arial" w:cs="Arial" w:eastAsia="Arial" w:hAnsi="Arial"/>
          <w:color w:val="2D2D2D"/>
          <w:sz w:val="21"/>
          <w:szCs w:val="21"/>
        </w:rPr>
        <w:t xml:space="preserve">Annual cold chain training shall be completed by all staff involved in vaccine handling. A cold chain protocol shall be displayed at each vaccine storage location.</w:t>
      </w:r>
    </w:p>
    <w:p>
      <w:pPr>
        <w:pStyle w:val="Heading2"/>
        <w:spacing w:after="80" w:before="240"/>
      </w:pPr>
      <w:r>
        <w:rPr>
          <w:rFonts w:ascii="Arial" w:cs="Arial" w:eastAsia="Arial" w:hAnsi="Arial"/>
          <w:b/>
          <w:bCs/>
          <w:color w:val="0B1D3A"/>
          <w:sz w:val="24"/>
          <w:szCs w:val="24"/>
        </w:rPr>
        <w:t xml:space="preserve">7.6 Administration of Medicines</w:t>
      </w:r>
    </w:p>
    <w:p>
      <w:pPr>
        <w:spacing w:after="80" w:before="60"/>
        <w:jc w:val="both"/>
      </w:pPr>
      <w:r>
        <w:rPr>
          <w:rFonts w:ascii="Arial" w:cs="Arial" w:eastAsia="Arial" w:hAnsi="Arial"/>
          <w:color w:val="2D2D2D"/>
          <w:sz w:val="21"/>
          <w:szCs w:val="21"/>
        </w:rPr>
        <w:t xml:space="preserve">Medicines shall only be administered by appropriately trained and authorised staff, under one of the following authorities: a patient-specific prescription (FP10, electronic prescription); a Patient Group Direction (PGD) signed by the authorising doctor and pharmacist; or a Patient Specific Direction (PSD) from a prescriber.</w:t>
      </w:r>
    </w:p>
    <w:p>
      <w:pPr>
        <w:spacing w:after="80" w:before="60"/>
        <w:jc w:val="both"/>
      </w:pPr>
      <w:r>
        <w:rPr>
          <w:rFonts w:ascii="Arial" w:cs="Arial" w:eastAsia="Arial" w:hAnsi="Arial"/>
          <w:color w:val="2D2D2D"/>
          <w:sz w:val="21"/>
          <w:szCs w:val="21"/>
        </w:rPr>
        <w:t xml:space="preserve">Before administering any medicine, the administering practitioner shall verify: the correct patient identity (using at least two identifiers); the correct medicine, dose, route, and timing; the expiry date; the patient’s allergy status; any contraindications; and valid consent. Any adverse reactions shall be managed in accordance with the practice’s anaphylaxis protocol and reported via the MHRA Yellow Card scheme.</w:t>
      </w:r>
    </w:p>
    <w:p>
      <w:pPr>
        <w:pStyle w:val="Heading2"/>
        <w:spacing w:after="80" w:before="240"/>
      </w:pPr>
      <w:r>
        <w:rPr>
          <w:rFonts w:ascii="Arial" w:cs="Arial" w:eastAsia="Arial" w:hAnsi="Arial"/>
          <w:b/>
          <w:bCs/>
          <w:color w:val="0B1D3A"/>
          <w:sz w:val="24"/>
          <w:szCs w:val="24"/>
        </w:rPr>
        <w:t xml:space="preserve">7.7 Medicines Safety and Incident Reporting</w:t>
      </w:r>
    </w:p>
    <w:p>
      <w:pPr>
        <w:spacing w:after="80" w:before="60"/>
        <w:jc w:val="both"/>
      </w:pPr>
      <w:r>
        <w:rPr>
          <w:rFonts w:ascii="Arial" w:cs="Arial" w:eastAsia="Arial" w:hAnsi="Arial"/>
          <w:color w:val="2D2D2D"/>
          <w:sz w:val="21"/>
          <w:szCs w:val="21"/>
        </w:rPr>
        <w:t xml:space="preserve">All prescribing and medicines-related incidents (including near-misses) shall be reported through the practice’s incident reporting system. Incidents shall be reviewed and investigated using the Significant Event Analysis (SEA) methodology. Learning shall be shared with all staff.</w:t>
      </w:r>
    </w:p>
    <w:p>
      <w:pPr>
        <w:spacing w:after="80" w:before="60"/>
        <w:jc w:val="both"/>
      </w:pPr>
      <w:r>
        <w:rPr>
          <w:rFonts w:ascii="Arial" w:cs="Arial" w:eastAsia="Arial" w:hAnsi="Arial"/>
          <w:color w:val="2D2D2D"/>
          <w:sz w:val="21"/>
          <w:szCs w:val="21"/>
        </w:rPr>
        <w:t xml:space="preserve">MHRA Drug Safety Updates, Patient Safety Alerts, and CAS (Central Alerting System) alerts shall be received, acknowledged, and actioned within the specified timeframes. The Practice Pharmacist shall coordinate the response to alerts and maintain a log of actions taken.</w:t>
      </w:r>
    </w:p>
    <w:p>
      <w:pPr>
        <w:spacing w:after="80" w:before="60"/>
        <w:jc w:val="both"/>
      </w:pPr>
      <w:r>
        <w:rPr>
          <w:rFonts w:ascii="Arial" w:cs="Arial" w:eastAsia="Arial" w:hAnsi="Arial"/>
          <w:color w:val="2D2D2D"/>
          <w:sz w:val="21"/>
          <w:szCs w:val="21"/>
        </w:rPr>
        <w:t xml:space="preserve">The practice shall participate in national prescribing safety audit programmes (e.g. SpectrumRx, Eclipse, PrescQIPP) and shall review prescribing safety dashboard indicators at least quarterly.</w:t>
      </w:r>
    </w:p>
    <w:p>
      <w:pPr>
        <w:pStyle w:val="Heading2"/>
        <w:spacing w:after="80" w:before="240"/>
      </w:pPr>
      <w:r>
        <w:rPr>
          <w:rFonts w:ascii="Arial" w:cs="Arial" w:eastAsia="Arial" w:hAnsi="Arial"/>
          <w:b/>
          <w:bCs/>
          <w:color w:val="0B1D3A"/>
          <w:sz w:val="24"/>
          <w:szCs w:val="24"/>
        </w:rPr>
        <w:t xml:space="preserve">7.8 Disposal of Medicines and Pharmaceutical Waste</w:t>
      </w:r>
    </w:p>
    <w:p>
      <w:pPr>
        <w:spacing w:after="80" w:before="60"/>
        <w:jc w:val="both"/>
      </w:pPr>
      <w:r>
        <w:rPr>
          <w:rFonts w:ascii="Arial" w:cs="Arial" w:eastAsia="Arial" w:hAnsi="Arial"/>
          <w:color w:val="2D2D2D"/>
          <w:sz w:val="21"/>
          <w:szCs w:val="21"/>
        </w:rPr>
        <w:t xml:space="preserve">Unwanted, expired, or returned medicines shall be disposed of in accordance with the Environmental Protection Act 1990 and the Hazardous Waste Regulations 2005. Medicines waste shall be segregated into the appropriate waste stream: yellow pharmaceutical waste bins for non-hazardous medicines; purple-lidded containers for cytotoxic/cytostatic waste.</w:t>
      </w:r>
    </w:p>
    <w:p>
      <w:pPr>
        <w:spacing w:after="80" w:before="60"/>
        <w:jc w:val="both"/>
      </w:pPr>
      <w:r>
        <w:rPr>
          <w:rFonts w:ascii="Arial" w:cs="Arial" w:eastAsia="Arial" w:hAnsi="Arial"/>
          <w:color w:val="2D2D2D"/>
          <w:sz w:val="21"/>
          <w:szCs w:val="21"/>
        </w:rPr>
        <w:t xml:space="preserve">Patients shall be advised to return unwanted medicines to a community pharmacy for safe disposal. Medicines shall not be disposed of in domestic waste or via the practice’s general waste stream.</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prescribers shall maintain their prescribing competence through continuing professional development and shall attend prescribing updates at least annually.</w:t>
      </w:r>
    </w:p>
    <w:p>
      <w:pPr>
        <w:pStyle w:val="ListParagraph"/>
        <w:numPr>
          <w:ilvl w:val="0"/>
          <w:numId w:val="2"/>
        </w:numPr>
        <w:spacing w:after="40" w:before="40"/>
      </w:pPr>
      <w:r>
        <w:rPr>
          <w:rFonts w:ascii="Arial" w:cs="Arial" w:eastAsia="Arial" w:hAnsi="Arial"/>
          <w:color w:val="2D2D2D"/>
          <w:sz w:val="20"/>
          <w:szCs w:val="20"/>
        </w:rPr>
        <w:t xml:space="preserve">Clinical staff administering medicines or vaccines shall complete competency assessment before administering independently, and refresher training annually.</w:t>
      </w:r>
    </w:p>
    <w:p>
      <w:pPr>
        <w:pStyle w:val="ListParagraph"/>
        <w:numPr>
          <w:ilvl w:val="0"/>
          <w:numId w:val="2"/>
        </w:numPr>
        <w:spacing w:after="40" w:before="40"/>
      </w:pPr>
      <w:r>
        <w:rPr>
          <w:rFonts w:ascii="Arial" w:cs="Arial" w:eastAsia="Arial" w:hAnsi="Arial"/>
          <w:color w:val="2D2D2D"/>
          <w:sz w:val="20"/>
          <w:szCs w:val="20"/>
        </w:rPr>
        <w:t xml:space="preserve">Staff operating under Patient Group Directions (PGDs) shall complete PGD-specific training and sign the PGD to confirm competence before each authorisation period.</w:t>
      </w:r>
    </w:p>
    <w:p>
      <w:pPr>
        <w:pStyle w:val="ListParagraph"/>
        <w:numPr>
          <w:ilvl w:val="0"/>
          <w:numId w:val="2"/>
        </w:numPr>
        <w:spacing w:after="40" w:before="40"/>
      </w:pPr>
      <w:r>
        <w:rPr>
          <w:rFonts w:ascii="Arial" w:cs="Arial" w:eastAsia="Arial" w:hAnsi="Arial"/>
          <w:color w:val="2D2D2D"/>
          <w:sz w:val="20"/>
          <w:szCs w:val="20"/>
        </w:rPr>
        <w:t xml:space="preserve">All staff involved in medicines handling shall receive training on safe storage, cold chain management, expiry checking, and waste disposal at induction and annually.</w:t>
      </w:r>
    </w:p>
    <w:p>
      <w:pPr>
        <w:pStyle w:val="ListParagraph"/>
        <w:numPr>
          <w:ilvl w:val="0"/>
          <w:numId w:val="2"/>
        </w:numPr>
        <w:spacing w:after="40" w:before="40"/>
      </w:pPr>
      <w:r>
        <w:rPr>
          <w:rFonts w:ascii="Arial" w:cs="Arial" w:eastAsia="Arial" w:hAnsi="Arial"/>
          <w:color w:val="2D2D2D"/>
          <w:sz w:val="20"/>
          <w:szCs w:val="20"/>
        </w:rPr>
        <w:t xml:space="preserve">The Controlled Drugs Accountable Officer shall complete CDAO training and access NHS England controlled drugs resources.</w:t>
      </w:r>
    </w:p>
    <w:p>
      <w:pPr>
        <w:pStyle w:val="ListParagraph"/>
        <w:numPr>
          <w:ilvl w:val="0"/>
          <w:numId w:val="2"/>
        </w:numPr>
        <w:spacing w:after="40" w:before="40"/>
      </w:pPr>
      <w:r>
        <w:rPr>
          <w:rFonts w:ascii="Arial" w:cs="Arial" w:eastAsia="Arial" w:hAnsi="Arial"/>
          <w:color w:val="2D2D2D"/>
          <w:sz w:val="20"/>
          <w:szCs w:val="20"/>
        </w:rPr>
        <w:t xml:space="preserve">Reception and administrative staff shall receive training on processing repeat prescriptions safely, including when to escalate queries to a prescriber.</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Vaccine fridge temperature monitoring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Daily (working days)</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Vaccine Lead / Practice Nurse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Medicines expiry date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Pharmacist / Nurse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Controlled drugs stock reconciliation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CDAO / Practice Pharmacist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Repeat prescribing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Pharmacist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High-risk medicines monitoring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Lead Prescriber / Pharmacist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MHRA / CAS alert compliance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As received (within timeframe)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Pharmacist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Prescribing safety dashboard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Lead Prescriber / Pharmacist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medicines management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Lead Prescriber / Practice Manager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BS-RA-MM-005 Medicines Management and Storage Risk Assessment</w:t>
      </w:r>
    </w:p>
    <w:p>
      <w:pPr>
        <w:pStyle w:val="ListParagraph"/>
        <w:numPr>
          <w:ilvl w:val="0"/>
          <w:numId w:val="2"/>
        </w:numPr>
        <w:spacing w:after="40" w:before="40"/>
      </w:pPr>
      <w:r>
        <w:rPr>
          <w:rFonts w:ascii="Arial" w:cs="Arial" w:eastAsia="Arial" w:hAnsi="Arial"/>
          <w:color w:val="2D2D2D"/>
          <w:sz w:val="20"/>
          <w:szCs w:val="20"/>
        </w:rPr>
        <w:t xml:space="preserve">BS-POL-HS-001 Health and Safety Policy</w:t>
      </w:r>
    </w:p>
    <w:p>
      <w:pPr>
        <w:pStyle w:val="ListParagraph"/>
        <w:numPr>
          <w:ilvl w:val="0"/>
          <w:numId w:val="2"/>
        </w:numPr>
        <w:spacing w:after="40" w:before="40"/>
      </w:pPr>
      <w:r>
        <w:rPr>
          <w:rFonts w:ascii="Arial" w:cs="Arial" w:eastAsia="Arial" w:hAnsi="Arial"/>
          <w:color w:val="2D2D2D"/>
          <w:sz w:val="20"/>
          <w:szCs w:val="20"/>
        </w:rPr>
        <w:t xml:space="preserve">Practice Anaphylaxis Protocol</w:t>
      </w:r>
    </w:p>
    <w:p>
      <w:pPr>
        <w:pStyle w:val="ListParagraph"/>
        <w:numPr>
          <w:ilvl w:val="0"/>
          <w:numId w:val="2"/>
        </w:numPr>
        <w:spacing w:after="40" w:before="40"/>
      </w:pPr>
      <w:r>
        <w:rPr>
          <w:rFonts w:ascii="Arial" w:cs="Arial" w:eastAsia="Arial" w:hAnsi="Arial"/>
          <w:color w:val="2D2D2D"/>
          <w:sz w:val="20"/>
          <w:szCs w:val="20"/>
        </w:rPr>
        <w:t xml:space="preserve">Practice Repeat Prescribing Protocol</w:t>
      </w:r>
    </w:p>
    <w:p>
      <w:pPr>
        <w:pStyle w:val="ListParagraph"/>
        <w:numPr>
          <w:ilvl w:val="0"/>
          <w:numId w:val="2"/>
        </w:numPr>
        <w:spacing w:after="40" w:before="40"/>
      </w:pPr>
      <w:r>
        <w:rPr>
          <w:rFonts w:ascii="Arial" w:cs="Arial" w:eastAsia="Arial" w:hAnsi="Arial"/>
          <w:color w:val="2D2D2D"/>
          <w:sz w:val="20"/>
          <w:szCs w:val="20"/>
        </w:rPr>
        <w:t xml:space="preserve">Practice Cold Chain Protocol</w:t>
      </w:r>
    </w:p>
    <w:p>
      <w:pPr>
        <w:pStyle w:val="ListParagraph"/>
        <w:numPr>
          <w:ilvl w:val="0"/>
          <w:numId w:val="2"/>
        </w:numPr>
        <w:spacing w:after="40" w:before="40"/>
      </w:pPr>
      <w:r>
        <w:rPr>
          <w:rFonts w:ascii="Arial" w:cs="Arial" w:eastAsia="Arial" w:hAnsi="Arial"/>
          <w:color w:val="2D2D2D"/>
          <w:sz w:val="20"/>
          <w:szCs w:val="20"/>
        </w:rPr>
        <w:t xml:space="preserve">Practice Patient Group Directions (PGD) Register</w:t>
      </w:r>
    </w:p>
    <w:p>
      <w:pPr>
        <w:pStyle w:val="ListParagraph"/>
        <w:numPr>
          <w:ilvl w:val="0"/>
          <w:numId w:val="2"/>
        </w:numPr>
        <w:spacing w:after="40" w:before="40"/>
      </w:pPr>
      <w:r>
        <w:rPr>
          <w:rFonts w:ascii="Arial" w:cs="Arial" w:eastAsia="Arial" w:hAnsi="Arial"/>
          <w:color w:val="2D2D2D"/>
          <w:sz w:val="20"/>
          <w:szCs w:val="20"/>
        </w:rPr>
        <w:t xml:space="preserve">Practice Controlled Drugs Standard Operating Procedure</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Lead Prescriber / Practice Pharmacist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BS-POL-MM-007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BS-POL-MM-007  |  Medicines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2026-05-15T12:48:44.210Z</dcterms:created>
  <dcterms:modified xsi:type="dcterms:W3CDTF">2026-05-15T12:48:44.210Z</dcterms:modified>
</cp:coreProperties>
</file>

<file path=docProps/custom.xml><?xml version="1.0" encoding="utf-8"?>
<Properties xmlns="http://schemas.openxmlformats.org/officeDocument/2006/custom-properties" xmlns:vt="http://schemas.openxmlformats.org/officeDocument/2006/docPropsVTypes"/>
</file>