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rFonts w:ascii="Arial" w:cs="Arial" w:eastAsia="Arial" w:hAnsi="Arial"/>
          <w:b/>
          <w:bCs/>
          <w:caps/>
          <w:color w:val="D4AF37"/>
          <w:sz w:val="22"/>
          <w:szCs w:val="22"/>
        </w:rPr>
        <w:t xml:space="preserve">GP PRACTICE POLICY</w:t>
      </w:r>
    </w:p>
    <w:p>
      <w:pPr>
        <w:spacing w:after="20"/>
        <w:jc w:val="center"/>
      </w:pPr>
      <w:r>
        <w:rPr>
          <w:rFonts w:ascii="Arial" w:cs="Arial" w:eastAsia="Arial" w:hAnsi="Arial"/>
          <w:b/>
          <w:bCs/>
          <w:color w:val="0B1D3A"/>
          <w:sz w:val="40"/>
          <w:szCs w:val="40"/>
        </w:rPr>
        <w:t xml:space="preserve">SAFEGUARDING CHILDREN AND ADULTS AT RISK</w:t>
      </w:r>
    </w:p>
    <w:p>
      <w:pPr>
        <w:spacing w:after="20"/>
        <w:jc w:val="center"/>
      </w:pPr>
      <w:r>
        <w:rPr>
          <w:rFonts w:ascii="Arial" w:cs="Arial" w:eastAsia="Arial" w:hAnsi="Arial"/>
          <w:i/>
          <w:iCs/>
          <w:color w:val="6B7280"/>
          <w:sz w:val="22"/>
          <w:szCs w:val="22"/>
        </w:rPr>
        <w:t xml:space="preserve">Protecting children, young persons, and vulnerable adults from abuse, neglect, and exploitation</w:t>
      </w:r>
    </w:p>
    <w:p>
      <w:pPr>
        <w:pBdr>
          <w:bottom w:val="single" w:color="D4AF37" w:sz="8" w:space="1"/>
        </w:pBdr>
        <w:spacing w:after="160" w:before="1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Policy Reference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BS-POL-SG-004</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1.0</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 Issued</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Approved By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 [Insert Job Title]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 Date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 – 12 months]</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Practice Name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Practice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Confidentiality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0B1D3A"/>
                <w:sz w:val="19"/>
                <w:szCs w:val="19"/>
              </w:rPr>
              <w:t xml:space="preserve">Internal Use Only</w:t>
            </w:r>
          </w:p>
        </w:tc>
      </w:tr>
    </w:tbl>
    <w:p>
      <w:pPr>
        <w:spacing w:before="200"/>
      </w:pPr>
    </w:p>
    <w:p>
      <w:pPr>
        <w:spacing w:after="120" w:before="200"/>
      </w:pPr>
      <w:r>
        <w:rPr>
          <w:rFonts w:ascii="Arial" w:cs="Arial" w:eastAsia="Arial" w:hAnsi="Arial"/>
          <w:b/>
          <w:bCs/>
          <w:color w:val="0B1D3A"/>
          <w:sz w:val="26"/>
          <w:szCs w:val="26"/>
        </w:rPr>
        <w:t xml:space="preserve">CONTENTS</w:t>
      </w:r>
    </w:p>
    <w:p>
      <w:pPr>
        <w:pBdr>
          <w:bottom w:val="single" w:color="D4AF37" w:sz="3" w:space="1"/>
        </w:pBdr>
        <w:spacing w:after="80" w:before="8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0B1D3A"/>
          <w:sz w:val="28"/>
          <w:szCs w:val="28"/>
        </w:rPr>
        <w:t xml:space="preserve">1. Policy Statement</w:t>
      </w:r>
    </w:p>
    <w:p>
      <w:pPr>
        <w:spacing w:after="80" w:before="60"/>
        <w:jc w:val="both"/>
      </w:pPr>
      <w:r>
        <w:rPr>
          <w:rFonts w:ascii="Arial" w:cs="Arial" w:eastAsia="Arial" w:hAnsi="Arial"/>
          <w:color w:val="2D2D2D"/>
          <w:sz w:val="21"/>
          <w:szCs w:val="21"/>
        </w:rPr>
        <w:t xml:space="preserve">The practice is committed to safeguarding and promoting the welfare of children, young persons, and adults at risk. Every member of staff has a responsibility to be vigilant to the signs and indicators of abuse, neglect, and exploitation, and to take appropriate action in accordance with statutory guidance and local safeguarding procedures. The practice will operate a culture of ‘it could happen here’ and will not tolerate any form of abuse against children or vulnerable adults.</w:t>
      </w:r>
    </w:p>
    <w:p>
      <w:pPr>
        <w:pStyle w:val="Heading1"/>
        <w:spacing w:after="120" w:before="360"/>
      </w:pPr>
      <w:r>
        <w:rPr>
          <w:rFonts w:ascii="Arial" w:cs="Arial" w:eastAsia="Arial" w:hAnsi="Arial"/>
          <w:b/>
          <w:bCs/>
          <w:color w:val="0B1D3A"/>
          <w:sz w:val="28"/>
          <w:szCs w:val="28"/>
        </w:rPr>
        <w:t xml:space="preserve">2. Purpose</w:t>
      </w:r>
    </w:p>
    <w:p>
      <w:pPr>
        <w:spacing w:after="80" w:before="60"/>
        <w:jc w:val="both"/>
      </w:pPr>
      <w:r>
        <w:rPr>
          <w:rFonts w:ascii="Arial" w:cs="Arial" w:eastAsia="Arial" w:hAnsi="Arial"/>
          <w:color w:val="2D2D2D"/>
          <w:sz w:val="21"/>
          <w:szCs w:val="21"/>
        </w:rPr>
        <w:t xml:space="preserve">This policy establishes the practice’s framework for safeguarding children and adults at risk, defines the statutory responsibilities of all staff, and sets out the procedures for recognising, responding to, reporting, and recording safeguarding concerns.</w:t>
      </w:r>
    </w:p>
    <w:p>
      <w:pPr>
        <w:spacing w:after="80" w:before="60"/>
        <w:jc w:val="both"/>
      </w:pPr>
      <w:r>
        <w:rPr>
          <w:rFonts w:ascii="Arial" w:cs="Arial" w:eastAsia="Arial" w:hAnsi="Arial"/>
          <w:color w:val="2D2D2D"/>
          <w:sz w:val="21"/>
          <w:szCs w:val="21"/>
        </w:rPr>
        <w:t xml:space="preserve">The policy ensures compliance with the statutory duties imposed by the Children Act 1989, Children Act 2004, Care Act 2014, and associated guidance, and supports the practice in meeting CQC Regulation 13 (Safeguarding Service Users from Abuse and Improper Treatment).</w:t>
      </w:r>
    </w:p>
    <w:p>
      <w:pPr>
        <w:pStyle w:val="Heading1"/>
        <w:spacing w:after="120" w:before="360"/>
      </w:pPr>
      <w:r>
        <w:rPr>
          <w:rFonts w:ascii="Arial" w:cs="Arial" w:eastAsia="Arial" w:hAnsi="Arial"/>
          <w:b/>
          <w:bCs/>
          <w:color w:val="0B1D3A"/>
          <w:sz w:val="28"/>
          <w:szCs w:val="28"/>
        </w:rPr>
        <w:t xml:space="preserve">3. Scope</w:t>
      </w:r>
    </w:p>
    <w:p>
      <w:pPr>
        <w:spacing w:after="80" w:before="60"/>
        <w:jc w:val="both"/>
      </w:pPr>
      <w:r>
        <w:rPr>
          <w:rFonts w:ascii="Arial" w:cs="Arial" w:eastAsia="Arial" w:hAnsi="Arial"/>
          <w:color w:val="2D2D2D"/>
          <w:sz w:val="21"/>
          <w:szCs w:val="21"/>
        </w:rPr>
        <w:t xml:space="preserve">This policy applies to:</w:t>
      </w:r>
    </w:p>
    <w:p>
      <w:pPr>
        <w:pStyle w:val="ListParagraph"/>
        <w:numPr>
          <w:ilvl w:val="0"/>
          <w:numId w:val="2"/>
        </w:numPr>
        <w:spacing w:after="40" w:before="40"/>
      </w:pPr>
      <w:r>
        <w:rPr>
          <w:rFonts w:ascii="Arial" w:cs="Arial" w:eastAsia="Arial" w:hAnsi="Arial"/>
          <w:color w:val="2D2D2D"/>
          <w:sz w:val="20"/>
          <w:szCs w:val="20"/>
        </w:rPr>
        <w:t xml:space="preserve">All clinical and non-clinical staff, including GPs, nurses, healthcare assistants, receptionists, administrative staff, practice manager, cleaners, and volunteers</w:t>
      </w:r>
    </w:p>
    <w:p>
      <w:pPr>
        <w:pStyle w:val="ListParagraph"/>
        <w:numPr>
          <w:ilvl w:val="0"/>
          <w:numId w:val="2"/>
        </w:numPr>
        <w:spacing w:after="40" w:before="40"/>
      </w:pPr>
      <w:r>
        <w:rPr>
          <w:rFonts w:ascii="Arial" w:cs="Arial" w:eastAsia="Arial" w:hAnsi="Arial"/>
          <w:color w:val="2D2D2D"/>
          <w:sz w:val="20"/>
          <w:szCs w:val="20"/>
        </w:rPr>
        <w:t xml:space="preserve">All locums, GP registrars, medical students, and visiting healthcare professionals</w:t>
      </w:r>
    </w:p>
    <w:p>
      <w:pPr>
        <w:pStyle w:val="ListParagraph"/>
        <w:numPr>
          <w:ilvl w:val="0"/>
          <w:numId w:val="2"/>
        </w:numPr>
        <w:spacing w:after="40" w:before="40"/>
      </w:pPr>
      <w:r>
        <w:rPr>
          <w:rFonts w:ascii="Arial" w:cs="Arial" w:eastAsia="Arial" w:hAnsi="Arial"/>
          <w:color w:val="2D2D2D"/>
          <w:sz w:val="20"/>
          <w:szCs w:val="20"/>
        </w:rPr>
        <w:t xml:space="preserve">All patient interactions across all channels: face-to-face, telephone, video, online, and home visits</w:t>
      </w:r>
    </w:p>
    <w:p>
      <w:pPr>
        <w:pStyle w:val="ListParagraph"/>
        <w:numPr>
          <w:ilvl w:val="0"/>
          <w:numId w:val="2"/>
        </w:numPr>
        <w:spacing w:after="40" w:before="40"/>
      </w:pPr>
      <w:r>
        <w:rPr>
          <w:rFonts w:ascii="Arial" w:cs="Arial" w:eastAsia="Arial" w:hAnsi="Arial"/>
          <w:color w:val="2D2D2D"/>
          <w:sz w:val="20"/>
          <w:szCs w:val="20"/>
        </w:rPr>
        <w:t xml:space="preserve">All persons registered with the practice, and any children or adults at risk who present or are disclosed as being at risk during a consultation or interaction</w:t>
      </w:r>
    </w:p>
    <w:p>
      <w:pPr>
        <w:pStyle w:val="Heading1"/>
        <w:spacing w:after="120" w:before="360"/>
      </w:pPr>
      <w:r>
        <w:rPr>
          <w:rFonts w:ascii="Arial" w:cs="Arial" w:eastAsia="Arial" w:hAnsi="Arial"/>
          <w:b/>
          <w:bCs/>
          <w:color w:val="0B1D3A"/>
          <w:sz w:val="28"/>
          <w:szCs w:val="28"/>
        </w:rPr>
        <w:t xml:space="preserve">4.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w:t>
            </w:r>
          </w:p>
        </w:tc>
        <w:tc>
          <w:tcPr>
            <w:tcW w:type="dxa" w:w="65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Child</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Any person under the age of 18 years (Children Act 1989, Section 105).</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Adult at Risk</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 adult who has needs for care and support, is experiencing or at risk of abuse or neglect, and as a result of those care and support needs is unable to protect themselves (Care Act 2014, Section 42).</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Abuse</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 violation of an individual’s human and civil rights by another person(s). Categories include: physical, emotional/psychological, sexual, financial/material, neglect, discriminatory, organisational/institutional, self-neglect, domestic abuse, modern slavery, and exploitation.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FGM</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Female Genital Mutilation – a criminal offence under the Female Genital Mutilation Act 2003. Clinicians have a mandatory reporting duty where FGM is identified in a girl under 18 (Serious Crime Act 2015, Section 74).</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MASH</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Multi-Agency Safeguarding Hub – the single point of contact for all safeguarding concerns in many local authority areas.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MARAC</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Multi-Agency Risk Assessment Conference – a multi-agency meeting to discuss and coordinate action for high-risk victims of domestic abuse.</w:t>
            </w:r>
          </w:p>
        </w:tc>
      </w:tr>
    </w:tbl>
    <w:p>
      <w:pPr>
        <w:pStyle w:val="Heading1"/>
        <w:spacing w:after="120" w:before="360"/>
      </w:pPr>
      <w:r>
        <w:rPr>
          <w:rFonts w:ascii="Arial" w:cs="Arial" w:eastAsia="Arial" w:hAnsi="Arial"/>
          <w:b/>
          <w:bCs/>
          <w:color w:val="0B1D3A"/>
          <w:sz w:val="28"/>
          <w:szCs w:val="28"/>
        </w:rPr>
        <w:t xml:space="preserve">5. Legal and Regulatory Framework</w:t>
      </w:r>
    </w:p>
    <w:p>
      <w:pPr>
        <w:spacing w:after="80" w:before="60"/>
        <w:jc w:val="both"/>
      </w:pPr>
      <w:r>
        <w:rPr>
          <w:rFonts w:ascii="Arial" w:cs="Arial" w:eastAsia="Arial" w:hAnsi="Arial"/>
          <w:color w:val="2D2D2D"/>
          <w:sz w:val="21"/>
          <w:szCs w:val="21"/>
        </w:rPr>
        <w:t xml:space="preserve">This policy is underpinned by the following legislation, regulations, and authoritative guidance:</w:t>
      </w:r>
    </w:p>
    <w:p>
      <w:pPr>
        <w:pStyle w:val="ListParagraph"/>
        <w:numPr>
          <w:ilvl w:val="0"/>
          <w:numId w:val="2"/>
        </w:numPr>
        <w:spacing w:after="40" w:before="40"/>
      </w:pPr>
      <w:r>
        <w:rPr>
          <w:rFonts w:ascii="Arial" w:cs="Arial" w:eastAsia="Arial" w:hAnsi="Arial"/>
          <w:color w:val="2D2D2D"/>
          <w:sz w:val="20"/>
          <w:szCs w:val="20"/>
        </w:rPr>
        <w:t xml:space="preserve">Children Act 1989 (Section 17 – Children in Need; Section 47 – Enquiries into Significant Harm)</w:t>
      </w:r>
    </w:p>
    <w:p>
      <w:pPr>
        <w:pStyle w:val="ListParagraph"/>
        <w:numPr>
          <w:ilvl w:val="0"/>
          <w:numId w:val="2"/>
        </w:numPr>
        <w:spacing w:after="40" w:before="40"/>
      </w:pPr>
      <w:r>
        <w:rPr>
          <w:rFonts w:ascii="Arial" w:cs="Arial" w:eastAsia="Arial" w:hAnsi="Arial"/>
          <w:color w:val="2D2D2D"/>
          <w:sz w:val="20"/>
          <w:szCs w:val="20"/>
        </w:rPr>
        <w:t xml:space="preserve">Children Act 2004 (Section 11 – Duty to Safeguard and Promote Welfare)</w:t>
      </w:r>
    </w:p>
    <w:p>
      <w:pPr>
        <w:pStyle w:val="ListParagraph"/>
        <w:numPr>
          <w:ilvl w:val="0"/>
          <w:numId w:val="2"/>
        </w:numPr>
        <w:spacing w:after="40" w:before="40"/>
      </w:pPr>
      <w:r>
        <w:rPr>
          <w:rFonts w:ascii="Arial" w:cs="Arial" w:eastAsia="Arial" w:hAnsi="Arial"/>
          <w:color w:val="2D2D2D"/>
          <w:sz w:val="20"/>
          <w:szCs w:val="20"/>
        </w:rPr>
        <w:t xml:space="preserve">Care Act 2014 (Part 1, Sections 42–47 – Safeguarding Adults)</w:t>
      </w:r>
    </w:p>
    <w:p>
      <w:pPr>
        <w:pStyle w:val="ListParagraph"/>
        <w:numPr>
          <w:ilvl w:val="0"/>
          <w:numId w:val="2"/>
        </w:numPr>
        <w:spacing w:after="40" w:before="40"/>
      </w:pPr>
      <w:r>
        <w:rPr>
          <w:rFonts w:ascii="Arial" w:cs="Arial" w:eastAsia="Arial" w:hAnsi="Arial"/>
          <w:color w:val="2D2D2D"/>
          <w:sz w:val="20"/>
          <w:szCs w:val="20"/>
        </w:rPr>
        <w:t xml:space="preserve">Working Together to Safeguard Children 2023 (HM Government Statutory Guidance)</w:t>
      </w:r>
    </w:p>
    <w:p>
      <w:pPr>
        <w:pStyle w:val="ListParagraph"/>
        <w:numPr>
          <w:ilvl w:val="0"/>
          <w:numId w:val="2"/>
        </w:numPr>
        <w:spacing w:after="40" w:before="40"/>
      </w:pPr>
      <w:r>
        <w:rPr>
          <w:rFonts w:ascii="Arial" w:cs="Arial" w:eastAsia="Arial" w:hAnsi="Arial"/>
          <w:color w:val="2D2D2D"/>
          <w:sz w:val="20"/>
          <w:szCs w:val="20"/>
        </w:rPr>
        <w:t xml:space="preserve">Female Genital Mutilation Act 2003 (as amended by Serious Crime Act 2015 – Section 74 mandatory reporting duty)</w:t>
      </w:r>
    </w:p>
    <w:p>
      <w:pPr>
        <w:pStyle w:val="ListParagraph"/>
        <w:numPr>
          <w:ilvl w:val="0"/>
          <w:numId w:val="2"/>
        </w:numPr>
        <w:spacing w:after="40" w:before="40"/>
      </w:pPr>
      <w:r>
        <w:rPr>
          <w:rFonts w:ascii="Arial" w:cs="Arial" w:eastAsia="Arial" w:hAnsi="Arial"/>
          <w:color w:val="2D2D2D"/>
          <w:sz w:val="20"/>
          <w:szCs w:val="20"/>
        </w:rPr>
        <w:t xml:space="preserve">Modern Slavery Act 2015</w:t>
      </w:r>
    </w:p>
    <w:p>
      <w:pPr>
        <w:pStyle w:val="ListParagraph"/>
        <w:numPr>
          <w:ilvl w:val="0"/>
          <w:numId w:val="2"/>
        </w:numPr>
        <w:spacing w:after="40" w:before="40"/>
      </w:pPr>
      <w:r>
        <w:rPr>
          <w:rFonts w:ascii="Arial" w:cs="Arial" w:eastAsia="Arial" w:hAnsi="Arial"/>
          <w:color w:val="2D2D2D"/>
          <w:sz w:val="20"/>
          <w:szCs w:val="20"/>
        </w:rPr>
        <w:t xml:space="preserve">Domestic Abuse Act 2021</w:t>
      </w:r>
    </w:p>
    <w:p>
      <w:pPr>
        <w:pStyle w:val="ListParagraph"/>
        <w:numPr>
          <w:ilvl w:val="0"/>
          <w:numId w:val="2"/>
        </w:numPr>
        <w:spacing w:after="40" w:before="40"/>
      </w:pPr>
      <w:r>
        <w:rPr>
          <w:rFonts w:ascii="Arial" w:cs="Arial" w:eastAsia="Arial" w:hAnsi="Arial"/>
          <w:color w:val="2D2D2D"/>
          <w:sz w:val="20"/>
          <w:szCs w:val="20"/>
        </w:rPr>
        <w:t xml:space="preserve">Mental Capacity Act 2005</w:t>
      </w:r>
    </w:p>
    <w:p>
      <w:pPr>
        <w:pStyle w:val="ListParagraph"/>
        <w:numPr>
          <w:ilvl w:val="0"/>
          <w:numId w:val="2"/>
        </w:numPr>
        <w:spacing w:after="40" w:before="40"/>
      </w:pPr>
      <w:r>
        <w:rPr>
          <w:rFonts w:ascii="Arial" w:cs="Arial" w:eastAsia="Arial" w:hAnsi="Arial"/>
          <w:color w:val="2D2D2D"/>
          <w:sz w:val="20"/>
          <w:szCs w:val="20"/>
        </w:rPr>
        <w:t xml:space="preserve">Counter-Terrorism and Security Act 2015 (Section 26 – Prevent Duty)</w:t>
      </w:r>
    </w:p>
    <w:p>
      <w:pPr>
        <w:pStyle w:val="ListParagraph"/>
        <w:numPr>
          <w:ilvl w:val="0"/>
          <w:numId w:val="2"/>
        </w:numPr>
        <w:spacing w:after="40" w:before="40"/>
      </w:pPr>
      <w:r>
        <w:rPr>
          <w:rFonts w:ascii="Arial" w:cs="Arial" w:eastAsia="Arial" w:hAnsi="Arial"/>
          <w:color w:val="2D2D2D"/>
          <w:sz w:val="20"/>
          <w:szCs w:val="20"/>
        </w:rPr>
        <w:t xml:space="preserve">Prevent Duty Guidance for England and Wales 2023</w:t>
      </w:r>
    </w:p>
    <w:p>
      <w:pPr>
        <w:pStyle w:val="ListParagraph"/>
        <w:numPr>
          <w:ilvl w:val="0"/>
          <w:numId w:val="2"/>
        </w:numPr>
        <w:spacing w:after="40" w:before="40"/>
      </w:pPr>
      <w:r>
        <w:rPr>
          <w:rFonts w:ascii="Arial" w:cs="Arial" w:eastAsia="Arial" w:hAnsi="Arial"/>
          <w:color w:val="2D2D2D"/>
          <w:sz w:val="20"/>
          <w:szCs w:val="20"/>
        </w:rPr>
        <w:t xml:space="preserve">The Health and Social Care Act 2008 (Regulated Activities) Regulations 2014 (Regulation 13 – Safeguarding)</w:t>
      </w:r>
    </w:p>
    <w:p>
      <w:pPr>
        <w:pStyle w:val="ListParagraph"/>
        <w:numPr>
          <w:ilvl w:val="0"/>
          <w:numId w:val="2"/>
        </w:numPr>
        <w:spacing w:after="40" w:before="40"/>
      </w:pPr>
      <w:r>
        <w:rPr>
          <w:rFonts w:ascii="Arial" w:cs="Arial" w:eastAsia="Arial" w:hAnsi="Arial"/>
          <w:color w:val="2D2D2D"/>
          <w:sz w:val="20"/>
          <w:szCs w:val="20"/>
        </w:rPr>
        <w:t xml:space="preserve">Data Protection Act 2018 / UK GDPR (information sharing for safeguarding purposes)</w:t>
      </w:r>
    </w:p>
    <w:p>
      <w:pPr>
        <w:pStyle w:val="ListParagraph"/>
        <w:numPr>
          <w:ilvl w:val="0"/>
          <w:numId w:val="2"/>
        </w:numPr>
        <w:spacing w:after="40" w:before="40"/>
      </w:pPr>
      <w:r>
        <w:rPr>
          <w:rFonts w:ascii="Arial" w:cs="Arial" w:eastAsia="Arial" w:hAnsi="Arial"/>
          <w:color w:val="2D2D2D"/>
          <w:sz w:val="20"/>
          <w:szCs w:val="20"/>
        </w:rPr>
        <w:t xml:space="preserve">HM Government Information Sharing Guidance 2018 (Seven Golden Rules)</w:t>
      </w:r>
    </w:p>
    <w:p>
      <w:pPr>
        <w:pStyle w:val="ListParagraph"/>
        <w:numPr>
          <w:ilvl w:val="0"/>
          <w:numId w:val="2"/>
        </w:numPr>
        <w:spacing w:after="40" w:before="40"/>
      </w:pPr>
      <w:r>
        <w:rPr>
          <w:rFonts w:ascii="Arial" w:cs="Arial" w:eastAsia="Arial" w:hAnsi="Arial"/>
          <w:color w:val="2D2D2D"/>
          <w:sz w:val="20"/>
          <w:szCs w:val="20"/>
        </w:rPr>
        <w:t xml:space="preserve">RCGP Safeguarding Toolkit for General Practice (2024)</w:t>
      </w:r>
    </w:p>
    <w:p>
      <w:pPr>
        <w:pStyle w:val="Heading1"/>
        <w:spacing w:after="120" w:before="360"/>
      </w:pPr>
      <w:r>
        <w:rPr>
          <w:rFonts w:ascii="Arial" w:cs="Arial" w:eastAsia="Arial" w:hAnsi="Arial"/>
          <w:b/>
          <w:bCs/>
          <w:color w:val="0B1D3A"/>
          <w:sz w:val="28"/>
          <w:szCs w:val="28"/>
        </w:rPr>
        <w:t xml:space="preserve">6. Roles and Responsibilities</w:t>
      </w:r>
    </w:p>
    <w:p>
      <w:pPr>
        <w:spacing w:after="80" w:before="60"/>
        <w:jc w:val="both"/>
      </w:pPr>
      <w:r>
        <w:rPr>
          <w:rFonts w:ascii="Arial" w:cs="Arial" w:eastAsia="Arial" w:hAnsi="Arial"/>
          <w:color w:val="2D2D2D"/>
          <w:sz w:val="21"/>
          <w:szCs w:val="21"/>
        </w:rPr>
        <w:t xml:space="preserve">The following roles and responsibilities are defined to ensure effective implementation and compliance with this policy: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69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Responsibilities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Safeguarding Children Lead</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Strategic and clinical lead for child safeguarding; maintaining Level 3 training (triennial); conducting safeguarding audits; liaison with Safeguarding Children Partnership (SCP); advising on complex cases; chairing monthly safeguarding meetings; ensuring policy compliance; producing safeguarding annual report.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Safeguarding Adults Lead</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Strategic and clinical lead for adult safeguarding; maintaining Level 3 training (triennial); liaison with Safeguarding Adults Board (SAB); advising on Mental Capacity Act assessments and Deprivation of Liberty Safeguards; chairing monthly safeguarding meetings.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Practice Manager</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Ensuring safeguarding training is completed and recorded; maintaining DBS records; coordinating information sharing requests; supporting safeguarding leads; ensuring locums and temporary staff receive safeguarding induction.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All Clinical Staff</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Recognising indicators of abuse; conducting routine and selective enquiry; making safeguarding referrals; documenting concerns using safeguarding coding on clinical system; attending Level 3 safeguarding training (triennial); complying with mandatory reporting duties.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All Non-Clinical Staff</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Being vigilant for safeguarding indicators; reporting concerns to safeguarding lead immediately; attending Level 1 safeguarding training (annual); never dismissing disclosures; understanding escalation procedure.</w:t>
            </w:r>
          </w:p>
        </w:tc>
      </w:tr>
    </w:tbl>
    <w:p>
      <w:pPr>
        <w:pStyle w:val="Heading1"/>
        <w:spacing w:after="120" w:before="360"/>
      </w:pPr>
      <w:r>
        <w:rPr>
          <w:rFonts w:ascii="Arial" w:cs="Arial" w:eastAsia="Arial" w:hAnsi="Arial"/>
          <w:b/>
          <w:bCs/>
          <w:color w:val="0B1D3A"/>
          <w:sz w:val="28"/>
          <w:szCs w:val="28"/>
        </w:rPr>
        <w:t xml:space="preserve">7. Policy Detail</w:t>
      </w:r>
    </w:p>
    <w:p>
      <w:pPr>
        <w:pStyle w:val="Heading2"/>
        <w:spacing w:after="80" w:before="240"/>
      </w:pPr>
      <w:r>
        <w:rPr>
          <w:rFonts w:ascii="Arial" w:cs="Arial" w:eastAsia="Arial" w:hAnsi="Arial"/>
          <w:b/>
          <w:bCs/>
          <w:color w:val="0B1D3A"/>
          <w:sz w:val="24"/>
          <w:szCs w:val="24"/>
        </w:rPr>
        <w:t xml:space="preserve">7.1 Recognising Abuse and Neglect</w:t>
      </w:r>
    </w:p>
    <w:p>
      <w:pPr>
        <w:spacing w:after="80" w:before="60"/>
        <w:jc w:val="both"/>
      </w:pPr>
      <w:r>
        <w:rPr>
          <w:rFonts w:ascii="Arial" w:cs="Arial" w:eastAsia="Arial" w:hAnsi="Arial"/>
          <w:color w:val="2D2D2D"/>
          <w:sz w:val="21"/>
          <w:szCs w:val="21"/>
        </w:rPr>
        <w:t xml:space="preserve">All staff shall be aware of the indicators of abuse and neglect in both children and adults. Recognition is a professional duty and shall not be dependent on certainty: staff are expected to report concerns, not make diagnoses of abuse.</w:t>
      </w:r>
    </w:p>
    <w:p>
      <w:pPr>
        <w:spacing w:after="80" w:before="60"/>
        <w:jc w:val="both"/>
      </w:pPr>
      <w:r>
        <w:rPr>
          <w:rFonts w:ascii="Arial" w:cs="Arial" w:eastAsia="Arial" w:hAnsi="Arial"/>
          <w:b/>
          <w:bCs/>
          <w:color w:val="2D2D2D"/>
          <w:sz w:val="21"/>
          <w:szCs w:val="21"/>
        </w:rPr>
        <w:t xml:space="preserve">Indicators in children include (but are not limited to):</w:t>
      </w:r>
    </w:p>
    <w:p>
      <w:pPr>
        <w:pStyle w:val="ListParagraph"/>
        <w:numPr>
          <w:ilvl w:val="0"/>
          <w:numId w:val="2"/>
        </w:numPr>
        <w:spacing w:after="40" w:before="40"/>
      </w:pPr>
      <w:r>
        <w:rPr>
          <w:rFonts w:ascii="Arial" w:cs="Arial" w:eastAsia="Arial" w:hAnsi="Arial"/>
          <w:color w:val="2D2D2D"/>
          <w:sz w:val="20"/>
          <w:szCs w:val="20"/>
        </w:rPr>
        <w:t xml:space="preserve">Unexplained or inconsistent injuries, particularly in pre-mobile children</w:t>
      </w:r>
    </w:p>
    <w:p>
      <w:pPr>
        <w:pStyle w:val="ListParagraph"/>
        <w:numPr>
          <w:ilvl w:val="0"/>
          <w:numId w:val="2"/>
        </w:numPr>
        <w:spacing w:after="40" w:before="40"/>
      </w:pPr>
      <w:r>
        <w:rPr>
          <w:rFonts w:ascii="Arial" w:cs="Arial" w:eastAsia="Arial" w:hAnsi="Arial"/>
          <w:color w:val="2D2D2D"/>
          <w:sz w:val="20"/>
          <w:szCs w:val="20"/>
        </w:rPr>
        <w:t xml:space="preserve">Frequent attendances or missed appointments (DNAs), especially in children under 5</w:t>
      </w:r>
    </w:p>
    <w:p>
      <w:pPr>
        <w:pStyle w:val="ListParagraph"/>
        <w:numPr>
          <w:ilvl w:val="0"/>
          <w:numId w:val="2"/>
        </w:numPr>
        <w:spacing w:after="40" w:before="40"/>
      </w:pPr>
      <w:r>
        <w:rPr>
          <w:rFonts w:ascii="Arial" w:cs="Arial" w:eastAsia="Arial" w:hAnsi="Arial"/>
          <w:color w:val="2D2D2D"/>
          <w:sz w:val="20"/>
          <w:szCs w:val="20"/>
        </w:rPr>
        <w:t xml:space="preserve">Behavioural changes: withdrawal, aggression, sexualised behaviour inappropriate to age</w:t>
      </w:r>
    </w:p>
    <w:p>
      <w:pPr>
        <w:pStyle w:val="ListParagraph"/>
        <w:numPr>
          <w:ilvl w:val="0"/>
          <w:numId w:val="2"/>
        </w:numPr>
        <w:spacing w:after="40" w:before="40"/>
      </w:pPr>
      <w:r>
        <w:rPr>
          <w:rFonts w:ascii="Arial" w:cs="Arial" w:eastAsia="Arial" w:hAnsi="Arial"/>
          <w:color w:val="2D2D2D"/>
          <w:sz w:val="20"/>
          <w:szCs w:val="20"/>
        </w:rPr>
        <w:t xml:space="preserve">Poor hygiene, inappropriate clothing, failure to thrive, untreated medical conditions</w:t>
      </w:r>
    </w:p>
    <w:p>
      <w:pPr>
        <w:pStyle w:val="ListParagraph"/>
        <w:numPr>
          <w:ilvl w:val="0"/>
          <w:numId w:val="2"/>
        </w:numPr>
        <w:spacing w:after="40" w:before="40"/>
      </w:pPr>
      <w:r>
        <w:rPr>
          <w:rFonts w:ascii="Arial" w:cs="Arial" w:eastAsia="Arial" w:hAnsi="Arial"/>
          <w:color w:val="2D2D2D"/>
          <w:sz w:val="20"/>
          <w:szCs w:val="20"/>
        </w:rPr>
        <w:t xml:space="preserve">Parental factors: substance misuse, mental health difficulties, domestic abuse, disengagement from services</w:t>
      </w:r>
    </w:p>
    <w:p>
      <w:pPr>
        <w:spacing w:after="80" w:before="60"/>
        <w:jc w:val="both"/>
      </w:pPr>
      <w:r>
        <w:rPr>
          <w:rFonts w:ascii="Arial" w:cs="Arial" w:eastAsia="Arial" w:hAnsi="Arial"/>
          <w:b/>
          <w:bCs/>
          <w:color w:val="2D2D2D"/>
          <w:sz w:val="21"/>
          <w:szCs w:val="21"/>
        </w:rPr>
        <w:t xml:space="preserve">Indicators in adults at risk include (but are not limited to):</w:t>
      </w:r>
    </w:p>
    <w:p>
      <w:pPr>
        <w:pStyle w:val="ListParagraph"/>
        <w:numPr>
          <w:ilvl w:val="0"/>
          <w:numId w:val="2"/>
        </w:numPr>
        <w:spacing w:after="40" w:before="40"/>
      </w:pPr>
      <w:r>
        <w:rPr>
          <w:rFonts w:ascii="Arial" w:cs="Arial" w:eastAsia="Arial" w:hAnsi="Arial"/>
          <w:color w:val="2D2D2D"/>
          <w:sz w:val="20"/>
          <w:szCs w:val="20"/>
        </w:rPr>
        <w:t xml:space="preserve">Unexplained injuries, pressure sores, malnutrition, dehydration</w:t>
      </w:r>
    </w:p>
    <w:p>
      <w:pPr>
        <w:pStyle w:val="ListParagraph"/>
        <w:numPr>
          <w:ilvl w:val="0"/>
          <w:numId w:val="2"/>
        </w:numPr>
        <w:spacing w:after="40" w:before="40"/>
      </w:pPr>
      <w:r>
        <w:rPr>
          <w:rFonts w:ascii="Arial" w:cs="Arial" w:eastAsia="Arial" w:hAnsi="Arial"/>
          <w:color w:val="2D2D2D"/>
          <w:sz w:val="20"/>
          <w:szCs w:val="20"/>
        </w:rPr>
        <w:t xml:space="preserve">Withdrawal, fear, or anxiety around certain individuals</w:t>
      </w:r>
    </w:p>
    <w:p>
      <w:pPr>
        <w:pStyle w:val="ListParagraph"/>
        <w:numPr>
          <w:ilvl w:val="0"/>
          <w:numId w:val="2"/>
        </w:numPr>
        <w:spacing w:after="40" w:before="40"/>
      </w:pPr>
      <w:r>
        <w:rPr>
          <w:rFonts w:ascii="Arial" w:cs="Arial" w:eastAsia="Arial" w:hAnsi="Arial"/>
          <w:color w:val="2D2D2D"/>
          <w:sz w:val="20"/>
          <w:szCs w:val="20"/>
        </w:rPr>
        <w:t xml:space="preserve">Unexplained financial transactions, changes to wills, missing possessions</w:t>
      </w:r>
    </w:p>
    <w:p>
      <w:pPr>
        <w:pStyle w:val="ListParagraph"/>
        <w:numPr>
          <w:ilvl w:val="0"/>
          <w:numId w:val="2"/>
        </w:numPr>
        <w:spacing w:after="40" w:before="40"/>
      </w:pPr>
      <w:r>
        <w:rPr>
          <w:rFonts w:ascii="Arial" w:cs="Arial" w:eastAsia="Arial" w:hAnsi="Arial"/>
          <w:color w:val="2D2D2D"/>
          <w:sz w:val="20"/>
          <w:szCs w:val="20"/>
        </w:rPr>
        <w:t xml:space="preserve">Self-neglect: hoarding, refusal of services, poor living conditions</w:t>
      </w:r>
    </w:p>
    <w:p>
      <w:pPr>
        <w:pStyle w:val="ListParagraph"/>
        <w:numPr>
          <w:ilvl w:val="0"/>
          <w:numId w:val="2"/>
        </w:numPr>
        <w:spacing w:after="40" w:before="40"/>
      </w:pPr>
      <w:r>
        <w:rPr>
          <w:rFonts w:ascii="Arial" w:cs="Arial" w:eastAsia="Arial" w:hAnsi="Arial"/>
          <w:color w:val="2D2D2D"/>
          <w:sz w:val="20"/>
          <w:szCs w:val="20"/>
        </w:rPr>
        <w:t xml:space="preserve">Signs of coercion, control, or restriction of liberty</w:t>
      </w:r>
    </w:p>
    <w:p>
      <w:pPr>
        <w:pStyle w:val="Heading2"/>
        <w:spacing w:after="80" w:before="240"/>
      </w:pPr>
      <w:r>
        <w:rPr>
          <w:rFonts w:ascii="Arial" w:cs="Arial" w:eastAsia="Arial" w:hAnsi="Arial"/>
          <w:b/>
          <w:bCs/>
          <w:color w:val="0B1D3A"/>
          <w:sz w:val="24"/>
          <w:szCs w:val="24"/>
        </w:rPr>
        <w:t xml:space="preserve">7.2 Responding to a Disclosure</w:t>
      </w:r>
    </w:p>
    <w:p>
      <w:pPr>
        <w:spacing w:after="80" w:before="60"/>
        <w:jc w:val="both"/>
      </w:pPr>
      <w:r>
        <w:rPr>
          <w:rFonts w:ascii="Arial" w:cs="Arial" w:eastAsia="Arial" w:hAnsi="Arial"/>
          <w:color w:val="2D2D2D"/>
          <w:sz w:val="21"/>
          <w:szCs w:val="21"/>
        </w:rPr>
        <w:t xml:space="preserve">When any member of staff receives a disclosure or identifies a safeguarding concern, they shall respond immediately following the practice’s safeguarding procedure:</w:t>
      </w:r>
    </w:p>
    <w:p>
      <w:pPr>
        <w:pStyle w:val="ListParagraph"/>
        <w:numPr>
          <w:ilvl w:val="0"/>
          <w:numId w:val="3"/>
        </w:numPr>
        <w:spacing w:after="40" w:before="40"/>
      </w:pPr>
      <w:r>
        <w:rPr>
          <w:rFonts w:ascii="Arial" w:cs="Arial" w:eastAsia="Arial" w:hAnsi="Arial"/>
          <w:color w:val="2D2D2D"/>
          <w:sz w:val="20"/>
          <w:szCs w:val="20"/>
        </w:rPr>
        <w:t xml:space="preserve">Listen carefully and calmly. Do not express shock or judgement.</w:t>
      </w:r>
    </w:p>
    <w:p>
      <w:pPr>
        <w:pStyle w:val="ListParagraph"/>
        <w:numPr>
          <w:ilvl w:val="0"/>
          <w:numId w:val="3"/>
        </w:numPr>
        <w:spacing w:after="40" w:before="40"/>
      </w:pPr>
      <w:r>
        <w:rPr>
          <w:rFonts w:ascii="Arial" w:cs="Arial" w:eastAsia="Arial" w:hAnsi="Arial"/>
          <w:color w:val="2D2D2D"/>
          <w:sz w:val="20"/>
          <w:szCs w:val="20"/>
        </w:rPr>
        <w:t xml:space="preserve">Reassure the person that they have done the right thing in telling you.</w:t>
      </w:r>
    </w:p>
    <w:p>
      <w:pPr>
        <w:pStyle w:val="ListParagraph"/>
        <w:numPr>
          <w:ilvl w:val="0"/>
          <w:numId w:val="3"/>
        </w:numPr>
        <w:spacing w:after="40" w:before="40"/>
      </w:pPr>
      <w:r>
        <w:rPr>
          <w:rFonts w:ascii="Arial" w:cs="Arial" w:eastAsia="Arial" w:hAnsi="Arial"/>
          <w:color w:val="2D2D2D"/>
          <w:sz w:val="20"/>
          <w:szCs w:val="20"/>
        </w:rPr>
        <w:t xml:space="preserve">Do not promise confidentiality – explain that you may need to share information to keep them (or a child/adult at risk) safe.</w:t>
      </w:r>
    </w:p>
    <w:p>
      <w:pPr>
        <w:pStyle w:val="ListParagraph"/>
        <w:numPr>
          <w:ilvl w:val="0"/>
          <w:numId w:val="3"/>
        </w:numPr>
        <w:spacing w:after="40" w:before="40"/>
      </w:pPr>
      <w:r>
        <w:rPr>
          <w:rFonts w:ascii="Arial" w:cs="Arial" w:eastAsia="Arial" w:hAnsi="Arial"/>
          <w:color w:val="2D2D2D"/>
          <w:sz w:val="20"/>
          <w:szCs w:val="20"/>
        </w:rPr>
        <w:t xml:space="preserve">Do not ask leading questions or investigate – record what is said using the person’s own words.</w:t>
      </w:r>
    </w:p>
    <w:p>
      <w:pPr>
        <w:pStyle w:val="ListParagraph"/>
        <w:numPr>
          <w:ilvl w:val="0"/>
          <w:numId w:val="3"/>
        </w:numPr>
        <w:spacing w:after="40" w:before="40"/>
      </w:pPr>
      <w:r>
        <w:rPr>
          <w:rFonts w:ascii="Arial" w:cs="Arial" w:eastAsia="Arial" w:hAnsi="Arial"/>
          <w:color w:val="2D2D2D"/>
          <w:sz w:val="20"/>
          <w:szCs w:val="20"/>
        </w:rPr>
        <w:t xml:space="preserve">Ensure the immediate safety of the person.</w:t>
      </w:r>
    </w:p>
    <w:p>
      <w:pPr>
        <w:pStyle w:val="ListParagraph"/>
        <w:numPr>
          <w:ilvl w:val="0"/>
          <w:numId w:val="3"/>
        </w:numPr>
        <w:spacing w:after="40" w:before="40"/>
      </w:pPr>
      <w:r>
        <w:rPr>
          <w:rFonts w:ascii="Arial" w:cs="Arial" w:eastAsia="Arial" w:hAnsi="Arial"/>
          <w:color w:val="2D2D2D"/>
          <w:sz w:val="20"/>
          <w:szCs w:val="20"/>
        </w:rPr>
        <w:t xml:space="preserve">Report the concern to the Safeguarding Lead without delay. If the Safeguarding Lead is unavailable, escalate to the Practice Manager or directly to the MASH/local authority children’s or adults’ social care.</w:t>
      </w:r>
    </w:p>
    <w:p>
      <w:pPr>
        <w:pStyle w:val="ListParagraph"/>
        <w:numPr>
          <w:ilvl w:val="0"/>
          <w:numId w:val="3"/>
        </w:numPr>
        <w:spacing w:after="40" w:before="40"/>
      </w:pPr>
      <w:r>
        <w:rPr>
          <w:rFonts w:ascii="Arial" w:cs="Arial" w:eastAsia="Arial" w:hAnsi="Arial"/>
          <w:color w:val="2D2D2D"/>
          <w:sz w:val="20"/>
          <w:szCs w:val="20"/>
        </w:rPr>
        <w:t xml:space="preserve">Record the concern in the patient’s clinical record using the appropriate safeguarding coding template. Include: date, time, what was observed or disclosed (using the person’s own words), any injuries (body map if applicable), action taken, and referral details.</w:t>
      </w:r>
    </w:p>
    <w:p>
      <w:pPr>
        <w:pStyle w:val="Heading2"/>
        <w:spacing w:after="80" w:before="240"/>
      </w:pPr>
      <w:r>
        <w:rPr>
          <w:rFonts w:ascii="Arial" w:cs="Arial" w:eastAsia="Arial" w:hAnsi="Arial"/>
          <w:b/>
          <w:bCs/>
          <w:color w:val="0B1D3A"/>
          <w:sz w:val="24"/>
          <w:szCs w:val="24"/>
        </w:rPr>
        <w:t xml:space="preserve">7.3 Referrals and Information Sharing</w:t>
      </w:r>
    </w:p>
    <w:p>
      <w:pPr>
        <w:spacing w:after="80" w:before="60"/>
        <w:jc w:val="both"/>
      </w:pPr>
      <w:r>
        <w:rPr>
          <w:rFonts w:ascii="Arial" w:cs="Arial" w:eastAsia="Arial" w:hAnsi="Arial"/>
          <w:color w:val="2D2D2D"/>
          <w:sz w:val="21"/>
          <w:szCs w:val="21"/>
        </w:rPr>
        <w:t xml:space="preserve">The Safeguarding Lead shall make a referral to the appropriate statutory agency where a safeguarding concern meets the threshold for intervention: the MASH (or equivalent single point of access) for child concerns; local authority adult social care for adult concerns. Referrals shall be made without delay – by telephone for urgent concerns, followed by written referral within 24 hours.</w:t>
      </w:r>
    </w:p>
    <w:p>
      <w:pPr>
        <w:spacing w:after="80" w:before="60"/>
        <w:jc w:val="both"/>
      </w:pPr>
      <w:r>
        <w:rPr>
          <w:rFonts w:ascii="Arial" w:cs="Arial" w:eastAsia="Arial" w:hAnsi="Arial"/>
          <w:color w:val="2D2D2D"/>
          <w:sz w:val="21"/>
          <w:szCs w:val="21"/>
        </w:rPr>
        <w:t xml:space="preserve">Information may be shared without consent where there is a safeguarding concern and seeking consent would place the child or adult at further risk, or would prejudice the prevention, detection, or prosecution of a serious crime. The legal bases for information sharing include: Section 47 (Children Act 1989); Section 45 (Care Act 2014); Schedule 2, Part 1 (UK GDPR – substantial public interest); and the common law duty of confidentiality may be overridden where there is an overriding public interest.</w:t>
      </w:r>
    </w:p>
    <w:p>
      <w:pPr>
        <w:spacing w:after="80" w:before="60"/>
        <w:jc w:val="both"/>
      </w:pPr>
      <w:r>
        <w:rPr>
          <w:rFonts w:ascii="Arial" w:cs="Arial" w:eastAsia="Arial" w:hAnsi="Arial"/>
          <w:color w:val="2D2D2D"/>
          <w:sz w:val="21"/>
          <w:szCs w:val="21"/>
        </w:rPr>
        <w:t xml:space="preserve">All staff shall be familiar with the Seven Golden Rules for Information Sharing (HM Government 2018) and shall apply them when making information sharing decisions. The Caldicott Guardian shall be consulted in complex or uncertain cases.</w:t>
      </w:r>
    </w:p>
    <w:p>
      <w:pPr>
        <w:pStyle w:val="Heading2"/>
        <w:spacing w:after="80" w:before="240"/>
      </w:pPr>
      <w:r>
        <w:rPr>
          <w:rFonts w:ascii="Arial" w:cs="Arial" w:eastAsia="Arial" w:hAnsi="Arial"/>
          <w:b/>
          <w:bCs/>
          <w:color w:val="0B1D3A"/>
          <w:sz w:val="24"/>
          <w:szCs w:val="24"/>
        </w:rPr>
        <w:t xml:space="preserve">7.4 Mandatory Reporting Duties</w:t>
      </w:r>
    </w:p>
    <w:p>
      <w:pPr>
        <w:spacing w:after="80" w:before="60"/>
        <w:jc w:val="both"/>
      </w:pPr>
      <w:r>
        <w:rPr>
          <w:rFonts w:ascii="Arial" w:cs="Arial" w:eastAsia="Arial" w:hAnsi="Arial"/>
          <w:b/>
          <w:bCs/>
          <w:color w:val="2D2D2D"/>
          <w:sz w:val="21"/>
          <w:szCs w:val="21"/>
        </w:rPr>
        <w:t xml:space="preserve">Female Genital Mutilation (FGM):</w:t>
      </w:r>
    </w:p>
    <w:p>
      <w:pPr>
        <w:spacing w:after="80" w:before="60"/>
        <w:jc w:val="both"/>
      </w:pPr>
      <w:r>
        <w:rPr>
          <w:rFonts w:ascii="Arial" w:cs="Arial" w:eastAsia="Arial" w:hAnsi="Arial"/>
          <w:color w:val="2D2D2D"/>
          <w:sz w:val="21"/>
          <w:szCs w:val="21"/>
        </w:rPr>
        <w:t xml:space="preserve">Regulated healthcare professionals have a mandatory duty under Section 5B of the Female Genital Mutilation Act 2003 (inserted by Section 74 of the Serious Crime Act 2015) to report to the police where, in the course of their professional duties, they discover that FGM appears to have been carried out on a girl under 18. The report must be made by the individual professional and cannot be delegated. Failure to report is not currently a criminal offence but may result in fitness-to-practise proceedings.</w:t>
      </w:r>
    </w:p>
    <w:p>
      <w:pPr>
        <w:spacing w:after="80" w:before="60"/>
        <w:jc w:val="both"/>
      </w:pPr>
      <w:r>
        <w:rPr>
          <w:rFonts w:ascii="Arial" w:cs="Arial" w:eastAsia="Arial" w:hAnsi="Arial"/>
          <w:b/>
          <w:bCs/>
          <w:color w:val="2D2D2D"/>
          <w:sz w:val="21"/>
          <w:szCs w:val="21"/>
        </w:rPr>
        <w:t xml:space="preserve">Prevent Duty (Counter-Terrorism):</w:t>
      </w:r>
    </w:p>
    <w:p>
      <w:pPr>
        <w:spacing w:after="80" w:before="60"/>
        <w:jc w:val="both"/>
      </w:pPr>
      <w:r>
        <w:rPr>
          <w:rFonts w:ascii="Arial" w:cs="Arial" w:eastAsia="Arial" w:hAnsi="Arial"/>
          <w:color w:val="2D2D2D"/>
          <w:sz w:val="21"/>
          <w:szCs w:val="21"/>
        </w:rPr>
        <w:t xml:space="preserve">The practice has a duty under Section 26 of the Counter-Terrorism and Security Act 2015 to have due regard to the need to prevent people from being drawn into terrorism. Staff shall be alert to indicators of radicalisation and shall refer concerns through the local Prevent pathway. Referrals may be made to the police Prevent team or via the local authority Channel panel.</w:t>
      </w:r>
    </w:p>
    <w:p>
      <w:pPr>
        <w:spacing w:after="80" w:before="60"/>
        <w:jc w:val="both"/>
      </w:pPr>
      <w:r>
        <w:rPr>
          <w:rFonts w:ascii="Arial" w:cs="Arial" w:eastAsia="Arial" w:hAnsi="Arial"/>
          <w:b/>
          <w:bCs/>
          <w:color w:val="2D2D2D"/>
          <w:sz w:val="21"/>
          <w:szCs w:val="21"/>
        </w:rPr>
        <w:t xml:space="preserve">Modern Slavery:</w:t>
      </w:r>
    </w:p>
    <w:p>
      <w:pPr>
        <w:spacing w:after="80" w:before="60"/>
        <w:jc w:val="both"/>
      </w:pPr>
      <w:r>
        <w:rPr>
          <w:rFonts w:ascii="Arial" w:cs="Arial" w:eastAsia="Arial" w:hAnsi="Arial"/>
          <w:color w:val="2D2D2D"/>
          <w:sz w:val="21"/>
          <w:szCs w:val="21"/>
        </w:rPr>
        <w:t xml:space="preserve">Staff shall be alert to indicators of modern slavery, trafficking, and exploitation as defined by the Modern Slavery Act 2015. Concerns shall be referred to the MASH, police, or the Modern Slavery Helpline (08000 121 700). Where a victim is identified, a referral to the National Referral Mechanism (NRM) should be considered.</w:t>
      </w:r>
    </w:p>
    <w:p>
      <w:pPr>
        <w:pStyle w:val="Heading2"/>
        <w:spacing w:after="80" w:before="240"/>
      </w:pPr>
      <w:r>
        <w:rPr>
          <w:rFonts w:ascii="Arial" w:cs="Arial" w:eastAsia="Arial" w:hAnsi="Arial"/>
          <w:b/>
          <w:bCs/>
          <w:color w:val="0B1D3A"/>
          <w:sz w:val="24"/>
          <w:szCs w:val="24"/>
        </w:rPr>
        <w:t xml:space="preserve">7.5 Domestic Abuse</w:t>
      </w:r>
    </w:p>
    <w:p>
      <w:pPr>
        <w:spacing w:after="80" w:before="60"/>
        <w:jc w:val="both"/>
      </w:pPr>
      <w:r>
        <w:rPr>
          <w:rFonts w:ascii="Arial" w:cs="Arial" w:eastAsia="Arial" w:hAnsi="Arial"/>
          <w:color w:val="2D2D2D"/>
          <w:sz w:val="21"/>
          <w:szCs w:val="21"/>
        </w:rPr>
        <w:t xml:space="preserve">The practice recognises the significant health impacts of domestic abuse and the duty to identify and support victims under the Domestic Abuse Act 2021. Routine enquiry about domestic abuse shall be incorporated into relevant consultations, including: new patient registrations, antenatal appointments, mental health assessments, and consultations where indicators of abuse are present.</w:t>
      </w:r>
    </w:p>
    <w:p>
      <w:pPr>
        <w:spacing w:after="80" w:before="60"/>
        <w:jc w:val="both"/>
      </w:pPr>
      <w:r>
        <w:rPr>
          <w:rFonts w:ascii="Arial" w:cs="Arial" w:eastAsia="Arial" w:hAnsi="Arial"/>
          <w:color w:val="2D2D2D"/>
          <w:sz w:val="21"/>
          <w:szCs w:val="21"/>
        </w:rPr>
        <w:t xml:space="preserve">The DASH-RIC (Domestic Abuse, Stalking and Honour-Based Violence Risk Identification Checklist) or equivalent validated tool shall be used to assess risk where domestic abuse is disclosed. High-risk cases shall be referred to MARAC in accordance with local procedures. Safety planning information and referral to local specialist domestic abuse services (IDVA – Independent Domestic Violence Adviser) shall be offered.</w:t>
      </w:r>
    </w:p>
    <w:p>
      <w:pPr>
        <w:pStyle w:val="Heading2"/>
        <w:spacing w:after="80" w:before="240"/>
      </w:pPr>
      <w:r>
        <w:rPr>
          <w:rFonts w:ascii="Arial" w:cs="Arial" w:eastAsia="Arial" w:hAnsi="Arial"/>
          <w:b/>
          <w:bCs/>
          <w:color w:val="0B1D3A"/>
          <w:sz w:val="24"/>
          <w:szCs w:val="24"/>
        </w:rPr>
        <w:t xml:space="preserve">7.6 Children Looked After (CLA) and Child Protection Plans</w:t>
      </w:r>
    </w:p>
    <w:p>
      <w:pPr>
        <w:spacing w:after="80" w:before="60"/>
        <w:jc w:val="both"/>
      </w:pPr>
      <w:r>
        <w:rPr>
          <w:rFonts w:ascii="Arial" w:cs="Arial" w:eastAsia="Arial" w:hAnsi="Arial"/>
          <w:color w:val="2D2D2D"/>
          <w:sz w:val="21"/>
          <w:szCs w:val="21"/>
        </w:rPr>
        <w:t xml:space="preserve">The practice shall maintain a register of children subject to a Child Protection Plan, Children in Need, and Children Looked After. The register shall be reviewed quarterly by the Safeguarding Children Lead.</w:t>
      </w:r>
    </w:p>
    <w:p>
      <w:pPr>
        <w:spacing w:after="80" w:before="60"/>
        <w:jc w:val="both"/>
      </w:pPr>
      <w:r>
        <w:rPr>
          <w:rFonts w:ascii="Arial" w:cs="Arial" w:eastAsia="Arial" w:hAnsi="Arial"/>
          <w:color w:val="2D2D2D"/>
          <w:sz w:val="21"/>
          <w:szCs w:val="21"/>
        </w:rPr>
        <w:t xml:space="preserve">The practice shall comply with its obligations to contribute to Initial and Review Child Protection Conferences, Core Group Meetings, and statutory health assessments for Children Looked After (in accordance with Promoting the Health and Well-being of Looked After Children – DfE/DHSC 2015).</w:t>
      </w:r>
    </w:p>
    <w:p>
      <w:pPr>
        <w:spacing w:after="80" w:before="60"/>
        <w:jc w:val="both"/>
      </w:pPr>
      <w:r>
        <w:rPr>
          <w:rFonts w:ascii="Arial" w:cs="Arial" w:eastAsia="Arial" w:hAnsi="Arial"/>
          <w:color w:val="2D2D2D"/>
          <w:sz w:val="21"/>
          <w:szCs w:val="21"/>
        </w:rPr>
        <w:t xml:space="preserve">A DNA/Was Not Brought (WNB) policy shall be applied to all children’s appointments. Missed appointments for children, particularly those under 5 or subject to a Child Protection Plan, shall be followed up proactively and a safeguarding assessment made as to whether the non-attendance is a potential indicator of neglect.</w:t>
      </w:r>
    </w:p>
    <w:p>
      <w:pPr>
        <w:pStyle w:val="Heading2"/>
        <w:spacing w:after="80" w:before="240"/>
      </w:pPr>
      <w:r>
        <w:rPr>
          <w:rFonts w:ascii="Arial" w:cs="Arial" w:eastAsia="Arial" w:hAnsi="Arial"/>
          <w:b/>
          <w:bCs/>
          <w:color w:val="0B1D3A"/>
          <w:sz w:val="24"/>
          <w:szCs w:val="24"/>
        </w:rPr>
        <w:t xml:space="preserve">7.7 Mental Capacity and Safeguarding Adults</w:t>
      </w:r>
    </w:p>
    <w:p>
      <w:pPr>
        <w:spacing w:after="80" w:before="60"/>
        <w:jc w:val="both"/>
      </w:pPr>
      <w:r>
        <w:rPr>
          <w:rFonts w:ascii="Arial" w:cs="Arial" w:eastAsia="Arial" w:hAnsi="Arial"/>
          <w:color w:val="2D2D2D"/>
          <w:sz w:val="21"/>
          <w:szCs w:val="21"/>
        </w:rPr>
        <w:t xml:space="preserve">Where a safeguarding concern involves an adult who may lack capacity to make decisions about their own safety, the Mental Capacity Act 2005 principles shall be applied: (1) a person must be assumed to have capacity unless established otherwise; (2) all practicable steps shall be taken to help them make their own decision; (3) an unwise decision does not equal lack of capacity; (4) any act done under the MCA must be in the person’s best interests; (5) regard must be had to less restrictive options.</w:t>
      </w:r>
    </w:p>
    <w:p>
      <w:pPr>
        <w:spacing w:after="80" w:before="60"/>
        <w:jc w:val="both"/>
      </w:pPr>
      <w:r>
        <w:rPr>
          <w:rFonts w:ascii="Arial" w:cs="Arial" w:eastAsia="Arial" w:hAnsi="Arial"/>
          <w:color w:val="2D2D2D"/>
          <w:sz w:val="21"/>
          <w:szCs w:val="21"/>
        </w:rPr>
        <w:t xml:space="preserve">Where an adult is assessed as lacking capacity and is at risk of abuse or neglect, a best interests decision shall be made involving appropriate persons (family, IMCA, advocate) and a safeguarding referral shall be made to adult social care.</w:t>
      </w:r>
    </w:p>
    <w:p>
      <w:pPr>
        <w:pStyle w:val="Heading2"/>
        <w:spacing w:after="80" w:before="240"/>
      </w:pPr>
      <w:r>
        <w:rPr>
          <w:rFonts w:ascii="Arial" w:cs="Arial" w:eastAsia="Arial" w:hAnsi="Arial"/>
          <w:b/>
          <w:bCs/>
          <w:color w:val="0B1D3A"/>
          <w:sz w:val="24"/>
          <w:szCs w:val="24"/>
        </w:rPr>
        <w:t xml:space="preserve">7.8 Record-Keeping and Coding</w:t>
      </w:r>
    </w:p>
    <w:p>
      <w:pPr>
        <w:spacing w:after="80" w:before="60"/>
        <w:jc w:val="both"/>
      </w:pPr>
      <w:r>
        <w:rPr>
          <w:rFonts w:ascii="Arial" w:cs="Arial" w:eastAsia="Arial" w:hAnsi="Arial"/>
          <w:color w:val="2D2D2D"/>
          <w:sz w:val="21"/>
          <w:szCs w:val="21"/>
        </w:rPr>
        <w:t xml:space="preserve">All safeguarding concerns, disclosures, referrals, and actions shall be recorded in the patient’s clinical record using appropriate safeguarding Read/SNOMED codes. Records shall be contemporaneous, factual, and distinguish clearly between fact, observation, and professional opinion.</w:t>
      </w:r>
    </w:p>
    <w:p>
      <w:pPr>
        <w:spacing w:after="80" w:before="60"/>
        <w:jc w:val="both"/>
      </w:pPr>
      <w:r>
        <w:rPr>
          <w:rFonts w:ascii="Arial" w:cs="Arial" w:eastAsia="Arial" w:hAnsi="Arial"/>
          <w:color w:val="2D2D2D"/>
          <w:sz w:val="21"/>
          <w:szCs w:val="21"/>
        </w:rPr>
        <w:t xml:space="preserve">Safeguarding records shall be marked as confidential and access-restricted where necessary to prevent inappropriate access (e.g. where a perpetrator is also registered at the practice). The Caldicott Guardian shall advise on appropriate access restrictions.</w:t>
      </w:r>
    </w:p>
    <w:p>
      <w:pPr>
        <w:spacing w:after="80" w:before="60"/>
        <w:jc w:val="both"/>
      </w:pPr>
      <w:r>
        <w:rPr>
          <w:rFonts w:ascii="Arial" w:cs="Arial" w:eastAsia="Arial" w:hAnsi="Arial"/>
          <w:color w:val="2D2D2D"/>
          <w:sz w:val="21"/>
          <w:szCs w:val="21"/>
        </w:rPr>
        <w:t xml:space="preserve">A safeguarding concerns register shall be maintained by the Safeguarding Lead, recording all concerns, referrals, and outcomes. This register shall be reviewed at monthly safeguarding meetings.</w:t>
      </w:r>
    </w:p>
    <w:p>
      <w:pPr>
        <w:pStyle w:val="Heading1"/>
        <w:spacing w:after="120" w:before="360"/>
      </w:pPr>
      <w:r>
        <w:rPr>
          <w:rFonts w:ascii="Arial" w:cs="Arial" w:eastAsia="Arial" w:hAnsi="Arial"/>
          <w:b/>
          <w:bCs/>
          <w:color w:val="0B1D3A"/>
          <w:sz w:val="28"/>
          <w:szCs w:val="28"/>
        </w:rPr>
        <w:t xml:space="preserve">8. Training and Awareness</w:t>
      </w:r>
    </w:p>
    <w:p>
      <w:pPr>
        <w:pStyle w:val="ListParagraph"/>
        <w:numPr>
          <w:ilvl w:val="0"/>
          <w:numId w:val="2"/>
        </w:numPr>
        <w:spacing w:after="40" w:before="40"/>
      </w:pPr>
      <w:r>
        <w:rPr>
          <w:rFonts w:ascii="Arial" w:cs="Arial" w:eastAsia="Arial" w:hAnsi="Arial"/>
          <w:color w:val="2D2D2D"/>
          <w:sz w:val="20"/>
          <w:szCs w:val="20"/>
        </w:rPr>
        <w:t xml:space="preserve">All clinical staff (GPs, nurses, HCAs, pharmacists) shall complete Level 3 Safeguarding Children and Level 3 Safeguarding Adults training, refreshed at least triennially, in accordance with the Intercollegiate Documents for Safeguarding Children (2019) and Safeguarding Adults (2018).</w:t>
      </w:r>
    </w:p>
    <w:p>
      <w:pPr>
        <w:pStyle w:val="ListParagraph"/>
        <w:numPr>
          <w:ilvl w:val="0"/>
          <w:numId w:val="2"/>
        </w:numPr>
        <w:spacing w:after="40" w:before="40"/>
      </w:pPr>
      <w:r>
        <w:rPr>
          <w:rFonts w:ascii="Arial" w:cs="Arial" w:eastAsia="Arial" w:hAnsi="Arial"/>
          <w:color w:val="2D2D2D"/>
          <w:sz w:val="20"/>
          <w:szCs w:val="20"/>
        </w:rPr>
        <w:t xml:space="preserve">All non-clinical staff shall complete Level 1 Safeguarding Children and Level 1 Safeguarding Adults training at induction, refreshed annually.</w:t>
      </w:r>
    </w:p>
    <w:p>
      <w:pPr>
        <w:pStyle w:val="ListParagraph"/>
        <w:numPr>
          <w:ilvl w:val="0"/>
          <w:numId w:val="2"/>
        </w:numPr>
        <w:spacing w:after="40" w:before="40"/>
      </w:pPr>
      <w:r>
        <w:rPr>
          <w:rFonts w:ascii="Arial" w:cs="Arial" w:eastAsia="Arial" w:hAnsi="Arial"/>
          <w:color w:val="2D2D2D"/>
          <w:sz w:val="20"/>
          <w:szCs w:val="20"/>
        </w:rPr>
        <w:t xml:space="preserve">All staff shall complete Prevent awareness training (Home Office Workshop to Raise Awareness of Prevent – WRAP) at induction, refreshed triennially.</w:t>
      </w:r>
    </w:p>
    <w:p>
      <w:pPr>
        <w:pStyle w:val="ListParagraph"/>
        <w:numPr>
          <w:ilvl w:val="0"/>
          <w:numId w:val="2"/>
        </w:numPr>
        <w:spacing w:after="40" w:before="40"/>
      </w:pPr>
      <w:r>
        <w:rPr>
          <w:rFonts w:ascii="Arial" w:cs="Arial" w:eastAsia="Arial" w:hAnsi="Arial"/>
          <w:color w:val="2D2D2D"/>
          <w:sz w:val="20"/>
          <w:szCs w:val="20"/>
        </w:rPr>
        <w:t xml:space="preserve">All staff shall receive training on the recognition of domestic abuse, FGM, and modern slavery as part of their safeguarding training programme.</w:t>
      </w:r>
    </w:p>
    <w:p>
      <w:pPr>
        <w:pStyle w:val="ListParagraph"/>
        <w:numPr>
          <w:ilvl w:val="0"/>
          <w:numId w:val="2"/>
        </w:numPr>
        <w:spacing w:after="40" w:before="40"/>
      </w:pPr>
      <w:r>
        <w:rPr>
          <w:rFonts w:ascii="Arial" w:cs="Arial" w:eastAsia="Arial" w:hAnsi="Arial"/>
          <w:color w:val="2D2D2D"/>
          <w:sz w:val="20"/>
          <w:szCs w:val="20"/>
        </w:rPr>
        <w:t xml:space="preserve">Safeguarding Leads shall attend multi-agency training offered by the local Safeguarding Children Partnership (SCP) and Safeguarding Adults Board (SAB).</w:t>
      </w:r>
    </w:p>
    <w:p>
      <w:pPr>
        <w:pStyle w:val="ListParagraph"/>
        <w:numPr>
          <w:ilvl w:val="0"/>
          <w:numId w:val="2"/>
        </w:numPr>
        <w:spacing w:after="40" w:before="40"/>
      </w:pPr>
      <w:r>
        <w:rPr>
          <w:rFonts w:ascii="Arial" w:cs="Arial" w:eastAsia="Arial" w:hAnsi="Arial"/>
          <w:color w:val="2D2D2D"/>
          <w:sz w:val="20"/>
          <w:szCs w:val="20"/>
        </w:rPr>
        <w:t xml:space="preserve">Locums, GP registrars, and medical students shall receive a safeguarding induction briefing on their first day, covering: safeguarding leads and contact details, referral pathways, coding templates, and the practice’s safeguarding register.</w:t>
      </w:r>
    </w:p>
    <w:p>
      <w:pPr>
        <w:pStyle w:val="ListParagraph"/>
        <w:numPr>
          <w:ilvl w:val="0"/>
          <w:numId w:val="2"/>
        </w:numPr>
        <w:spacing w:after="40" w:before="40"/>
      </w:pPr>
      <w:r>
        <w:rPr>
          <w:rFonts w:ascii="Arial" w:cs="Arial" w:eastAsia="Arial" w:hAnsi="Arial"/>
          <w:color w:val="2D2D2D"/>
          <w:sz w:val="20"/>
          <w:szCs w:val="20"/>
        </w:rPr>
        <w:t xml:space="preserve">An annual safeguarding learning event shall be held for all staff, incorporating case studies, lessons learned from Serious Case Reviews (SCRs) / Child Safeguarding Practice Reviews (CSPRs) / Safeguarding Adult Reviews (SARs), and updates to legislation or guidance.</w:t>
      </w:r>
    </w:p>
    <w:p>
      <w:pPr>
        <w:pStyle w:val="Heading1"/>
        <w:spacing w:after="120" w:before="360"/>
      </w:pPr>
      <w:r>
        <w:rPr>
          <w:rFonts w:ascii="Arial" w:cs="Arial" w:eastAsia="Arial" w:hAnsi="Arial"/>
          <w:b/>
          <w:bCs/>
          <w:color w:val="0B1D3A"/>
          <w:sz w:val="28"/>
          <w:szCs w:val="28"/>
        </w:rPr>
        <w:t xml:space="preserve">9. Monitoring and Compliance</w:t>
      </w:r>
    </w:p>
    <w:p>
      <w:pPr>
        <w:spacing w:after="80" w:before="60"/>
        <w:jc w:val="both"/>
      </w:pPr>
      <w:r>
        <w:rPr>
          <w:rFonts w:ascii="Arial" w:cs="Arial" w:eastAsia="Arial" w:hAnsi="Arial"/>
          <w:color w:val="2D2D2D"/>
          <w:sz w:val="21"/>
          <w:szCs w:val="21"/>
        </w:rPr>
        <w:t xml:space="preserve">Compliance with this policy shall be monitored through the following mechanisms: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06"/>
      </w:tblGrid>
      <w:tr>
        <w:tc>
          <w:tcPr>
            <w:tcW w:type="dxa" w:w="3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Monitoring Activity</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Frequency</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Responsible Person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Safeguarding concerns register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Monthly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Safeguarding Lead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Safeguarding coding audit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Safeguarding Lead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DNA/WNB audit for children</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Safeguarding Children Lead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Safeguarding training compliance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Child Protection Plan and CLA register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Safeguarding Children Lead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Significant event analysis (safeguarding incidents)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As required</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Safeguarding Lead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Safeguarding annual report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Safeguarding Leads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Full safeguarding policy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Safeguarding Leads / Practice Manager</w:t>
            </w:r>
          </w:p>
        </w:tc>
      </w:tr>
    </w:tbl>
    <w:p>
      <w:pPr>
        <w:pStyle w:val="Heading1"/>
        <w:spacing w:after="120" w:before="360"/>
      </w:pPr>
      <w:r>
        <w:rPr>
          <w:rFonts w:ascii="Arial" w:cs="Arial" w:eastAsia="Arial" w:hAnsi="Arial"/>
          <w:b/>
          <w:bCs/>
          <w:color w:val="0B1D3A"/>
          <w:sz w:val="28"/>
          <w:szCs w:val="28"/>
        </w:rPr>
        <w:t xml:space="preserve">10. Related Policies and Documents</w:t>
      </w:r>
    </w:p>
    <w:p>
      <w:pPr>
        <w:pStyle w:val="ListParagraph"/>
        <w:numPr>
          <w:ilvl w:val="0"/>
          <w:numId w:val="2"/>
        </w:numPr>
        <w:spacing w:after="40" w:before="40"/>
      </w:pPr>
      <w:r>
        <w:rPr>
          <w:rFonts w:ascii="Arial" w:cs="Arial" w:eastAsia="Arial" w:hAnsi="Arial"/>
          <w:color w:val="2D2D2D"/>
          <w:sz w:val="20"/>
          <w:szCs w:val="20"/>
        </w:rPr>
        <w:t xml:space="preserve">BS-RA-SG-009 Safeguarding Risk Assessment</w:t>
      </w:r>
    </w:p>
    <w:p>
      <w:pPr>
        <w:pStyle w:val="ListParagraph"/>
        <w:numPr>
          <w:ilvl w:val="0"/>
          <w:numId w:val="2"/>
        </w:numPr>
        <w:spacing w:after="40" w:before="40"/>
      </w:pPr>
      <w:r>
        <w:rPr>
          <w:rFonts w:ascii="Arial" w:cs="Arial" w:eastAsia="Arial" w:hAnsi="Arial"/>
          <w:color w:val="2D2D2D"/>
          <w:sz w:val="20"/>
          <w:szCs w:val="20"/>
        </w:rPr>
        <w:t xml:space="preserve">BS-POL-DP-010 Data Protection and Information Governance Policy</w:t>
      </w:r>
    </w:p>
    <w:p>
      <w:pPr>
        <w:pStyle w:val="ListParagraph"/>
        <w:numPr>
          <w:ilvl w:val="0"/>
          <w:numId w:val="2"/>
        </w:numPr>
        <w:spacing w:after="40" w:before="40"/>
      </w:pPr>
      <w:r>
        <w:rPr>
          <w:rFonts w:ascii="Arial" w:cs="Arial" w:eastAsia="Arial" w:hAnsi="Arial"/>
          <w:color w:val="2D2D2D"/>
          <w:sz w:val="20"/>
          <w:szCs w:val="20"/>
        </w:rPr>
        <w:t xml:space="preserve">Practice Domestic Abuse Protocol</w:t>
      </w:r>
    </w:p>
    <w:p>
      <w:pPr>
        <w:pStyle w:val="ListParagraph"/>
        <w:numPr>
          <w:ilvl w:val="0"/>
          <w:numId w:val="2"/>
        </w:numPr>
        <w:spacing w:after="40" w:before="40"/>
      </w:pPr>
      <w:r>
        <w:rPr>
          <w:rFonts w:ascii="Arial" w:cs="Arial" w:eastAsia="Arial" w:hAnsi="Arial"/>
          <w:color w:val="2D2D2D"/>
          <w:sz w:val="20"/>
          <w:szCs w:val="20"/>
        </w:rPr>
        <w:t xml:space="preserve">Practice FGM Protocol</w:t>
      </w:r>
    </w:p>
    <w:p>
      <w:pPr>
        <w:pStyle w:val="ListParagraph"/>
        <w:numPr>
          <w:ilvl w:val="0"/>
          <w:numId w:val="2"/>
        </w:numPr>
        <w:spacing w:after="40" w:before="40"/>
      </w:pPr>
      <w:r>
        <w:rPr>
          <w:rFonts w:ascii="Arial" w:cs="Arial" w:eastAsia="Arial" w:hAnsi="Arial"/>
          <w:color w:val="2D2D2D"/>
          <w:sz w:val="20"/>
          <w:szCs w:val="20"/>
        </w:rPr>
        <w:t xml:space="preserve">Practice Mental Capacity Act Policy</w:t>
      </w:r>
    </w:p>
    <w:p>
      <w:pPr>
        <w:pStyle w:val="ListParagraph"/>
        <w:numPr>
          <w:ilvl w:val="0"/>
          <w:numId w:val="2"/>
        </w:numPr>
        <w:spacing w:after="40" w:before="40"/>
      </w:pPr>
      <w:r>
        <w:rPr>
          <w:rFonts w:ascii="Arial" w:cs="Arial" w:eastAsia="Arial" w:hAnsi="Arial"/>
          <w:color w:val="2D2D2D"/>
          <w:sz w:val="20"/>
          <w:szCs w:val="20"/>
        </w:rPr>
        <w:t xml:space="preserve">Practice Chaperone Policy</w:t>
      </w:r>
    </w:p>
    <w:p>
      <w:pPr>
        <w:pStyle w:val="ListParagraph"/>
        <w:numPr>
          <w:ilvl w:val="0"/>
          <w:numId w:val="2"/>
        </w:numPr>
        <w:spacing w:after="40" w:before="40"/>
      </w:pPr>
      <w:r>
        <w:rPr>
          <w:rFonts w:ascii="Arial" w:cs="Arial" w:eastAsia="Arial" w:hAnsi="Arial"/>
          <w:color w:val="2D2D2D"/>
          <w:sz w:val="20"/>
          <w:szCs w:val="20"/>
        </w:rPr>
        <w:t xml:space="preserve">Practice Complaints Procedure</w:t>
      </w:r>
    </w:p>
    <w:p>
      <w:pPr>
        <w:pStyle w:val="ListParagraph"/>
        <w:numPr>
          <w:ilvl w:val="0"/>
          <w:numId w:val="2"/>
        </w:numPr>
        <w:spacing w:after="40" w:before="40"/>
      </w:pPr>
      <w:r>
        <w:rPr>
          <w:rFonts w:ascii="Arial" w:cs="Arial" w:eastAsia="Arial" w:hAnsi="Arial"/>
          <w:color w:val="2D2D2D"/>
          <w:sz w:val="20"/>
          <w:szCs w:val="20"/>
        </w:rPr>
        <w:t xml:space="preserve">Local Safeguarding Children Partnership (SCP) Procedures</w:t>
      </w:r>
    </w:p>
    <w:p>
      <w:pPr>
        <w:pStyle w:val="ListParagraph"/>
        <w:numPr>
          <w:ilvl w:val="0"/>
          <w:numId w:val="2"/>
        </w:numPr>
        <w:spacing w:after="40" w:before="40"/>
      </w:pPr>
      <w:r>
        <w:rPr>
          <w:rFonts w:ascii="Arial" w:cs="Arial" w:eastAsia="Arial" w:hAnsi="Arial"/>
          <w:color w:val="2D2D2D"/>
          <w:sz w:val="20"/>
          <w:szCs w:val="20"/>
        </w:rPr>
        <w:t xml:space="preserve">Local Safeguarding Adults Board (SAB) Procedures</w:t>
      </w:r>
    </w:p>
    <w:p>
      <w:pPr>
        <w:pStyle w:val="Heading1"/>
        <w:spacing w:after="120" w:before="360"/>
      </w:pPr>
      <w:r>
        <w:rPr>
          <w:rFonts w:ascii="Arial" w:cs="Arial" w:eastAsia="Arial" w:hAnsi="Arial"/>
          <w:b/>
          <w:bCs/>
          <w:color w:val="0B1D3A"/>
          <w:sz w:val="28"/>
          <w:szCs w:val="28"/>
        </w:rPr>
        <w:t xml:space="preserve">11. Equality and Diversity Statement</w:t>
      </w:r>
    </w:p>
    <w:p>
      <w:pPr>
        <w:spacing w:after="80" w:before="60"/>
        <w:jc w:val="both"/>
      </w:pPr>
      <w:r>
        <w:rPr>
          <w:rFonts w:ascii="Arial" w:cs="Arial" w:eastAsia="Arial" w:hAnsi="Arial"/>
          <w:color w:val="2D2D2D"/>
          <w:sz w:val="21"/>
          <w:szCs w:val="21"/>
        </w:rPr>
        <w:t xml:space="preserve">This policy has been subject to an Equality Impact Assessment. The practice is committed to ensuring that this policy is applied fairly and consistently to all persons regardless of age, disability, gender reassignment, marriage and civil partnership, pregnancy and maternity, race, religion or belief, sex, or sexual orientation, in accordance with the Equality Act 2010. Reasonable adjustments will be made for staff and patients with protected characteristics where required.</w:t>
      </w:r>
    </w:p>
    <w:p>
      <w:pPr>
        <w:pStyle w:val="Heading1"/>
        <w:spacing w:after="120" w:before="360"/>
      </w:pPr>
      <w:r>
        <w:rPr>
          <w:rFonts w:ascii="Arial" w:cs="Arial" w:eastAsia="Arial" w:hAnsi="Arial"/>
          <w:b/>
          <w:bCs/>
          <w:color w:val="0B1D3A"/>
          <w:sz w:val="28"/>
          <w:szCs w:val="28"/>
        </w:rPr>
        <w:t xml:space="preserve">12. Review</w:t>
      </w:r>
    </w:p>
    <w:p>
      <w:pPr>
        <w:spacing w:after="80" w:before="60"/>
        <w:jc w:val="both"/>
      </w:pPr>
      <w:r>
        <w:rPr>
          <w:rFonts w:ascii="Arial" w:cs="Arial" w:eastAsia="Arial" w:hAnsi="Arial"/>
          <w:color w:val="2D2D2D"/>
          <w:sz w:val="21"/>
          <w:szCs w:val="21"/>
        </w:rPr>
        <w:t xml:space="preserve">This policy shall be reviewed at least annually, or sooner in the event of changes to legislation, regulatory guidance, national standards, significant incidents, or organisational changes. The next scheduled review date is [Insert Date – 12 months from approval]. The Safeguarding Leads is responsible for initiating the review process and ensuring updated versions are disseminated to all relevant staff.</w:t>
      </w:r>
    </w:p>
    <w:p>
      <w:r>
        <w:br w:type="page"/>
      </w:r>
    </w:p>
    <w:p>
      <w:pPr>
        <w:pStyle w:val="Heading1"/>
        <w:spacing w:after="120" w:before="360"/>
      </w:pPr>
      <w:r>
        <w:rPr>
          <w:rFonts w:ascii="Arial" w:cs="Arial" w:eastAsia="Arial" w:hAnsi="Arial"/>
          <w:b/>
          <w:bCs/>
          <w:color w:val="0B1D3A"/>
          <w:sz w:val="28"/>
          <w:szCs w:val="28"/>
        </w:rPr>
        <w:t xml:space="preserve">13. Approval and Sign-Off</w:t>
      </w:r>
    </w:p>
    <w:p>
      <w:pPr>
        <w:spacing w:after="80" w:before="60"/>
        <w:jc w:val="both"/>
      </w:pPr>
      <w:r>
        <w:rPr>
          <w:rFonts w:ascii="Arial" w:cs="Arial" w:eastAsia="Arial" w:hAnsi="Arial"/>
          <w:color w:val="2D2D2D"/>
          <w:sz w:val="21"/>
          <w:szCs w:val="21"/>
        </w:rPr>
        <w:t xml:space="preserve">This policy has been reviewed and approved by the following authorised persons:</w:t>
      </w:r>
    </w:p>
    <w:p>
      <w:pPr>
        <w:spacing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2600"/>
        <w:gridCol w:w="2406"/>
      </w:tblGrid>
      <w:tr>
        <w:tc>
          <w:tcPr>
            <w:tcW w:type="dxa" w:w="31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Print Name</w:t>
            </w:r>
          </w:p>
        </w:tc>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Signature</w:t>
            </w:r>
          </w:p>
        </w:tc>
        <w:tc>
          <w:tcPr>
            <w:tcW w:type="dxa" w:w="24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Policy Author: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Senior Partner / Lead GP: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 / IG Lead: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200"/>
      </w:pPr>
    </w:p>
    <w:p>
      <w:pPr>
        <w:pBdr>
          <w:bottom w:val="single" w:color="D4AF37" w:sz="8" w:space="1"/>
        </w:pBdr>
        <w:spacing w:after="160" w:before="160"/>
      </w:pPr>
    </w:p>
    <w:p>
      <w:pPr>
        <w:spacing w:after="100" w:before="160"/>
      </w:pPr>
      <w:r>
        <w:rPr>
          <w:rFonts w:ascii="Arial" w:cs="Arial" w:eastAsia="Arial" w:hAnsi="Arial"/>
          <w:b/>
          <w:bCs/>
          <w:color w:val="0B1D3A"/>
          <w:sz w:val="24"/>
          <w:szCs w:val="24"/>
        </w:rPr>
        <w:t xml:space="preserve">Version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06"/>
      </w:tblGrid>
      <w:tr>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18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Summary of Changes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1.0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Initial issue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after="200" w:before="60"/>
        <w:jc w:val="center"/>
      </w:pPr>
      <w:r>
        <w:rPr>
          <w:rFonts w:ascii="Arial" w:cs="Arial" w:eastAsia="Arial" w:hAnsi="Arial"/>
          <w:i/>
          <w:iCs/>
          <w:color w:val="6B7280"/>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1906" w:h="16838" w:orient="portrait"/>
      <w:pgMar w:top="16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3" w:space="1"/>
      </w:pBdr>
      <w:spacing w:before="60"/>
    </w:pPr>
    <w:r>
      <w:rPr>
        <w:rFonts w:ascii="Arial" w:cs="Arial" w:eastAsia="Arial" w:hAnsi="Arial"/>
        <w:color w:val="6B7280"/>
        <w:sz w:val="14"/>
        <w:szCs w:val="14"/>
      </w:rPr>
      <w:t xml:space="preserve">BS-POL-SG-004  |  v1.0  |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r>
      <w:rPr>
        <w:rFonts w:ascii="Arial" w:cs="Arial" w:eastAsia="Arial" w:hAnsi="Arial"/>
        <w:color w:val="6B7280"/>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rPr>
        <w:rFonts w:ascii="Arial" w:cs="Arial" w:eastAsia="Arial" w:hAnsi="Arial"/>
        <w:b/>
        <w:bCs/>
        <w:color w:val="0B1D3A"/>
        <w:sz w:val="22"/>
        <w:szCs w:val="22"/>
      </w:rPr>
      <w:t xml:space="preserve">BARKER SCOTT</w:t>
    </w:r>
    <w:r>
      <w:rPr>
        <w:rFonts w:ascii="Arial" w:cs="Arial" w:eastAsia="Arial" w:hAnsi="Arial"/>
        <w:color w:val="D4AF37"/>
        <w:sz w:val="18"/>
        <w:szCs w:val="18"/>
      </w:rPr>
      <w:t xml:space="preserve">  |  </w:t>
    </w:r>
    <w:r>
      <w:rPr>
        <w:rFonts w:ascii="Arial" w:cs="Arial" w:eastAsia="Arial" w:hAnsi="Arial"/>
        <w:color w:val="6B7280"/>
        <w:sz w:val="18"/>
        <w:szCs w:val="18"/>
      </w:rPr>
      <w:t xml:space="preserve">Health &amp; Safety Consultants</w:t>
    </w:r>
  </w:p>
  <w:p>
    <w:pPr>
      <w:pBdr>
        <w:bottom w:val="single" w:color="D4AF37" w:sz="6" w:space="1"/>
      </w:pBdr>
      <w:spacing w:after="60"/>
    </w:pPr>
    <w:r>
      <w:rPr>
        <w:rFonts w:ascii="Arial" w:cs="Arial" w:eastAsia="Arial" w:hAnsi="Arial"/>
        <w:i/>
        <w:iCs/>
        <w:color w:val="6B7280"/>
        <w:sz w:val="15"/>
        <w:szCs w:val="15"/>
      </w:rPr>
      <w:t xml:space="preserve">BS-POL-SG-004  |  Safeguarding Children and Adults at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1D3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2026-05-15T12:48:43.864Z</dcterms:created>
  <dcterms:modified xsi:type="dcterms:W3CDTF">2026-05-15T12:48:43.864Z</dcterms:modified>
</cp:coreProperties>
</file>

<file path=docProps/custom.xml><?xml version="1.0" encoding="utf-8"?>
<Properties xmlns="http://schemas.openxmlformats.org/officeDocument/2006/custom-properties" xmlns:vt="http://schemas.openxmlformats.org/officeDocument/2006/docPropsVTypes"/>
</file>