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0"/>
        <w:jc w:val="center"/>
      </w:pPr>
      <w:r>
        <w:rPr>
          <w:rFonts w:ascii="Arial" w:cs="Arial" w:eastAsia="Arial" w:hAnsi="Arial"/>
          <w:b/>
          <w:bCs/>
          <w:color w:val="0B1D3A"/>
          <w:sz w:val="56"/>
          <w:szCs w:val="56"/>
        </w:rPr>
        <w:t xml:space="preserve">BARKER SCOTT</w:t>
      </w:r>
    </w:p>
    <w:p>
      <w:pPr>
        <w:spacing w:after="200"/>
        <w:jc w:val="center"/>
      </w:pPr>
      <w:r>
        <w:rPr>
          <w:rFonts w:ascii="Arial" w:cs="Arial" w:eastAsia="Arial" w:hAnsi="Arial"/>
          <w:color w:val="D4AF37"/>
          <w:sz w:val="24"/>
          <w:szCs w:val="24"/>
        </w:rPr>
        <w:t xml:space="preserve">CQC Compliance Templates</w:t>
      </w:r>
    </w:p>
    <w:p>
      <w:pPr>
        <w:pBdr>
          <w:bottom w:val="single" w:color="0B1D3A" w:sz="6" w:space="1"/>
        </w:pBdr>
        <w:spacing w:after="100" w:before="100"/>
      </w:pPr>
    </w:p>
    <w:p>
      <w:pPr>
        <w:spacing w:after="0" w:before="400"/>
      </w:pPr>
    </w:p>
    <w:p>
      <w:pPr>
        <w:spacing w:after="100"/>
        <w:jc w:val="center"/>
      </w:pPr>
      <w:r>
        <w:rPr>
          <w:rFonts w:ascii="Arial" w:cs="Arial" w:eastAsia="Arial" w:hAnsi="Arial"/>
          <w:b/>
          <w:bCs/>
          <w:color w:val="0B1D3A"/>
          <w:sz w:val="40"/>
          <w:szCs w:val="40"/>
        </w:rPr>
        <w:t xml:space="preserve">Business Continuity and Emergency Planning Policy</w:t>
      </w:r>
    </w:p>
    <w:p>
      <w:pPr>
        <w:spacing w:after="100"/>
        <w:jc w:val="center"/>
      </w:pPr>
      <w:r>
        <w:rPr>
          <w:rFonts w:ascii="Arial" w:cs="Arial" w:eastAsia="Arial" w:hAnsi="Arial"/>
          <w:color w:val="999999"/>
          <w:sz w:val="24"/>
          <w:szCs w:val="24"/>
        </w:rPr>
        <w:t xml:space="preserve">For CQC-Registered Private Health Clinics</w:t>
      </w:r>
    </w:p>
    <w:p>
      <w:pPr>
        <w:pBdr>
          <w:bottom w:val="single" w:color="0B1D3A" w:sz="6" w:space="1"/>
        </w:pBdr>
        <w:spacing w:after="100" w:before="100"/>
      </w:pPr>
    </w:p>
    <w:p>
      <w:pPr>
        <w:spacing w:after="0" w:before="200"/>
      </w:pPr>
    </w:p>
    <w:p>
      <w:pPr>
        <w:jc w:val="center"/>
      </w:pPr>
      <w:r>
        <w:rPr>
          <w:rFonts w:ascii="Arial" w:cs="Arial" w:eastAsia="Arial" w:hAnsi="Arial"/>
          <w:b/>
          <w:bCs/>
          <w:color w:val="D4AF37"/>
          <w:sz w:val="24"/>
          <w:szCs w:val="24"/>
        </w:rPr>
        <w:t xml:space="preserve">Private Health Clinic Sector</w:t>
      </w:r>
    </w:p>
    <w:p>
      <w:pPr>
        <w:spacing w:after="0" w:before="100"/>
      </w:pPr>
    </w:p>
    <w:p>
      <w:pPr>
        <w:jc w:val="center"/>
      </w:pPr>
      <w:r>
        <w:rPr>
          <w:rFonts w:ascii="Arial" w:cs="Arial" w:eastAsia="Arial" w:hAnsi="Arial"/>
          <w:color w:val="999999"/>
          <w:sz w:val="20"/>
          <w:szCs w:val="20"/>
        </w:rPr>
        <w:t xml:space="preserve">Document Reference: BS-PHC-BC-010</w:t>
      </w:r>
    </w:p>
    <w:p>
      <w:pPr>
        <w:jc w:val="center"/>
      </w:pPr>
      <w:r>
        <w:rPr>
          <w:rFonts w:ascii="Arial" w:cs="Arial" w:eastAsia="Arial" w:hAnsi="Arial"/>
          <w:color w:val="999999"/>
          <w:sz w:val="20"/>
          <w:szCs w:val="20"/>
        </w:rPr>
        <w:t xml:space="preserve">Version 1.0</w:t>
      </w:r>
    </w:p>
    <w:p>
      <w:pPr>
        <w:spacing w:after="0" w:before="600"/>
      </w:pPr>
    </w:p>
    <w:p>
      <w:pPr>
        <w:spacing w:after="40"/>
        <w:jc w:val="center"/>
      </w:pPr>
      <w:r>
        <w:rPr>
          <w:rFonts w:ascii="Arial" w:cs="Arial" w:eastAsia="Arial" w:hAnsi="Arial"/>
          <w:b/>
          <w:bCs/>
          <w:color w:val="0B1D3A"/>
          <w:sz w:val="28"/>
          <w:szCs w:val="28"/>
        </w:rPr>
        <w:t xml:space="preserve">[Insert Organisation Name]</w:t>
      </w:r>
    </w:p>
    <w:p>
      <w:pPr>
        <w:spacing w:after="0" w:before="400"/>
      </w:pPr>
    </w:p>
    <w:p>
      <w:pPr>
        <w:pBdr>
          <w:top w:val="single" w:color="D4AF37" w:sz="2" w:space="8"/>
        </w:pBdr>
        <w:spacing w:before="200"/>
        <w:jc w:val="center"/>
      </w:pPr>
      <w:r>
        <w:rPr>
          <w:rFonts w:ascii="Arial" w:cs="Arial" w:eastAsia="Arial" w:hAnsi="Arial"/>
          <w:i/>
          <w:iCs/>
          <w:color w:val="999999"/>
          <w:sz w:val="18"/>
          <w:szCs w:val="18"/>
        </w:rPr>
        <w:t xml:space="preserve">CONFIDENTIAL – FOR INTERNAL USE ONLY</w:t>
      </w:r>
    </w:p>
    <w:p>
      <w:r>
        <w:br w:type="page"/>
      </w:r>
    </w:p>
    <w:p>
      <w:pPr>
        <w:pStyle w:val="Heading1"/>
      </w:pPr>
      <w:r>
        <w:rPr>
          <w:rFonts w:ascii="Arial" w:cs="Arial" w:eastAsia="Arial" w:hAnsi="Arial"/>
          <w:b/>
          <w:bCs/>
          <w:color w:val="0B1D3A"/>
          <w:sz w:val="28"/>
          <w:szCs w:val="28"/>
        </w:rPr>
        <w:t xml:space="preserve">Document Control</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Document Title:</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Business Continuity and Emergency Planning Policy</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Document Reference:</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BS-PHC-BC-010</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Version:</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Date of Issue:</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Review Date:</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 + 12 Months]</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Author:</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Approved By:</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 / Governance Lead]</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Organisation:</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Organisation Name]</w:t>
            </w:r>
          </w:p>
        </w:tc>
      </w:tr>
    </w:tbl>
    <w:p>
      <w:pPr>
        <w:spacing w:after="0" w:before="200"/>
      </w:pPr>
    </w:p>
    <w:p>
      <w:pPr>
        <w:pStyle w:val="Heading1"/>
      </w:pPr>
      <w:r>
        <w:rPr>
          <w:rFonts w:ascii="Arial" w:cs="Arial" w:eastAsia="Arial" w:hAnsi="Arial"/>
          <w:b/>
          <w:bCs/>
          <w:color w:val="0B1D3A"/>
          <w:sz w:val="28"/>
          <w:szCs w:val="28"/>
        </w:rPr>
        <w:t xml:space="preserve">1. Purpose</w:t>
      </w:r>
    </w:p>
    <w:p>
      <w:pPr>
        <w:spacing w:after="120"/>
        <w:jc w:val="both"/>
      </w:pPr>
      <w:r>
        <w:rPr>
          <w:rFonts w:ascii="Arial" w:cs="Arial" w:eastAsia="Arial" w:hAnsi="Arial"/>
          <w:color w:val="333333"/>
          <w:sz w:val="22"/>
          <w:szCs w:val="22"/>
        </w:rPr>
        <w:t xml:space="preserve">This policy establishes the business continuity and emergency planning arrangements for [Insert Organisation Name] to ensure that essential clinical services can be maintained or rapidly restored in the event of a disruptive incident. It ensures compliance with the Health and Social Care Act 2008 (Regulated Activities) Regulations 2014 (Regulation 17 – Good Governance) and the Civil Contingencies Act 2004 (where applicable to Category 2 responders).</w:t>
      </w:r>
    </w:p>
    <w:p>
      <w:pPr>
        <w:pStyle w:val="Heading1"/>
      </w:pPr>
      <w:r>
        <w:rPr>
          <w:rFonts w:ascii="Arial" w:cs="Arial" w:eastAsia="Arial" w:hAnsi="Arial"/>
          <w:b/>
          <w:bCs/>
          <w:color w:val="0B1D3A"/>
          <w:sz w:val="28"/>
          <w:szCs w:val="28"/>
        </w:rPr>
        <w:t xml:space="preserve">2. Scope</w:t>
      </w:r>
    </w:p>
    <w:p>
      <w:pPr>
        <w:spacing w:after="120"/>
        <w:jc w:val="both"/>
      </w:pPr>
      <w:r>
        <w:rPr>
          <w:rFonts w:ascii="Arial" w:cs="Arial" w:eastAsia="Arial" w:hAnsi="Arial"/>
          <w:color w:val="333333"/>
          <w:sz w:val="22"/>
          <w:szCs w:val="22"/>
        </w:rPr>
        <w:t xml:space="preserve">This policy covers all operations, services, and premises of [Insert Organisation Name]. It addresses both internal disruptions (such as IT failure, staffing crises, or building damage) and external events (such as severe weather, pandemic, utility failure, or supply chain disruption) that may affect the clinic’s ability to deliver safe and effective care.</w:t>
      </w:r>
    </w:p>
    <w:p>
      <w:pPr>
        <w:pStyle w:val="Heading1"/>
      </w:pPr>
      <w:r>
        <w:rPr>
          <w:rFonts w:ascii="Arial" w:cs="Arial" w:eastAsia="Arial" w:hAnsi="Arial"/>
          <w:b/>
          <w:bCs/>
          <w:color w:val="0B1D3A"/>
          <w:sz w:val="28"/>
          <w:szCs w:val="28"/>
        </w:rPr>
        <w:t xml:space="preserve">3. Business Impact Analysis</w:t>
      </w:r>
    </w:p>
    <w:p>
      <w:pPr>
        <w:spacing w:after="120"/>
        <w:jc w:val="both"/>
      </w:pPr>
      <w:r>
        <w:rPr>
          <w:rFonts w:ascii="Arial" w:cs="Arial" w:eastAsia="Arial" w:hAnsi="Arial"/>
          <w:color w:val="333333"/>
          <w:sz w:val="22"/>
          <w:szCs w:val="22"/>
        </w:rPr>
        <w:t xml:space="preserve">[Insert Organisation Name] shall conduct a documented business impact analysis (BIA) identifying all critical functions, maximum tolerable periods of disruption for each function, dependencies (staff, IT, utilities, supplies, premises), and the impact of disruption on patient safety, regulatory compliance, and financial viability. The BIA shall be reviewed annually and following any significant disruption or organisational change.</w:t>
      </w:r>
    </w:p>
    <w:p>
      <w:pPr>
        <w:pStyle w:val="Heading1"/>
      </w:pPr>
      <w:r>
        <w:rPr>
          <w:rFonts w:ascii="Arial" w:cs="Arial" w:eastAsia="Arial" w:hAnsi="Arial"/>
          <w:b/>
          <w:bCs/>
          <w:color w:val="0B1D3A"/>
          <w:sz w:val="28"/>
          <w:szCs w:val="28"/>
        </w:rPr>
        <w:t xml:space="preserve">4. Business Continuity Plan (BCP)</w:t>
      </w:r>
    </w:p>
    <w:p>
      <w:pPr>
        <w:spacing w:after="120"/>
        <w:jc w:val="both"/>
      </w:pPr>
      <w:r>
        <w:rPr>
          <w:rFonts w:ascii="Arial" w:cs="Arial" w:eastAsia="Arial" w:hAnsi="Arial"/>
          <w:color w:val="333333"/>
          <w:sz w:val="22"/>
          <w:szCs w:val="22"/>
        </w:rPr>
        <w:t xml:space="preserve">Based on the BIA, a Business Continuity Plan shall be developed and maintained. The BCP shall include:</w:t>
      </w:r>
    </w:p>
    <w:p>
      <w:pPr>
        <w:pStyle w:val="ListParagraph"/>
        <w:numPr>
          <w:ilvl w:val="0"/>
          <w:numId w:val="2"/>
        </w:numPr>
        <w:spacing w:after="80"/>
      </w:pPr>
      <w:r>
        <w:rPr>
          <w:rFonts w:ascii="Arial" w:cs="Arial" w:eastAsia="Arial" w:hAnsi="Arial"/>
          <w:color w:val="333333"/>
          <w:sz w:val="22"/>
          <w:szCs w:val="22"/>
        </w:rPr>
        <w:t xml:space="preserve">Activation criteria and escalation procedures</w:t>
      </w:r>
    </w:p>
    <w:p>
      <w:pPr>
        <w:pStyle w:val="ListParagraph"/>
        <w:numPr>
          <w:ilvl w:val="0"/>
          <w:numId w:val="2"/>
        </w:numPr>
        <w:spacing w:after="80"/>
      </w:pPr>
      <w:r>
        <w:rPr>
          <w:rFonts w:ascii="Arial" w:cs="Arial" w:eastAsia="Arial" w:hAnsi="Arial"/>
          <w:color w:val="333333"/>
          <w:sz w:val="22"/>
          <w:szCs w:val="22"/>
        </w:rPr>
        <w:t xml:space="preserve">Roles and responsibilities of the incident management team</w:t>
      </w:r>
    </w:p>
    <w:p>
      <w:pPr>
        <w:pStyle w:val="ListParagraph"/>
        <w:numPr>
          <w:ilvl w:val="0"/>
          <w:numId w:val="2"/>
        </w:numPr>
        <w:spacing w:after="80"/>
      </w:pPr>
      <w:r>
        <w:rPr>
          <w:rFonts w:ascii="Arial" w:cs="Arial" w:eastAsia="Arial" w:hAnsi="Arial"/>
          <w:color w:val="333333"/>
          <w:sz w:val="22"/>
          <w:szCs w:val="22"/>
        </w:rPr>
        <w:t xml:space="preserve">Communication plan for staff, patients, suppliers, CQC, and other stakeholders</w:t>
      </w:r>
    </w:p>
    <w:p>
      <w:pPr>
        <w:pStyle w:val="ListParagraph"/>
        <w:numPr>
          <w:ilvl w:val="0"/>
          <w:numId w:val="2"/>
        </w:numPr>
        <w:spacing w:after="80"/>
      </w:pPr>
      <w:r>
        <w:rPr>
          <w:rFonts w:ascii="Arial" w:cs="Arial" w:eastAsia="Arial" w:hAnsi="Arial"/>
          <w:color w:val="333333"/>
          <w:sz w:val="22"/>
          <w:szCs w:val="22"/>
        </w:rPr>
        <w:t xml:space="preserve">Arrangements for relocating critical services to alternative premises if required</w:t>
      </w:r>
    </w:p>
    <w:p>
      <w:pPr>
        <w:pStyle w:val="ListParagraph"/>
        <w:numPr>
          <w:ilvl w:val="0"/>
          <w:numId w:val="2"/>
        </w:numPr>
        <w:spacing w:after="80"/>
      </w:pPr>
      <w:r>
        <w:rPr>
          <w:rFonts w:ascii="Arial" w:cs="Arial" w:eastAsia="Arial" w:hAnsi="Arial"/>
          <w:color w:val="333333"/>
          <w:sz w:val="22"/>
          <w:szCs w:val="22"/>
        </w:rPr>
        <w:t xml:space="preserve">Manual workaround procedures for IT system failure</w:t>
      </w:r>
    </w:p>
    <w:p>
      <w:pPr>
        <w:pStyle w:val="ListParagraph"/>
        <w:numPr>
          <w:ilvl w:val="0"/>
          <w:numId w:val="2"/>
        </w:numPr>
        <w:spacing w:after="80"/>
      </w:pPr>
      <w:r>
        <w:rPr>
          <w:rFonts w:ascii="Arial" w:cs="Arial" w:eastAsia="Arial" w:hAnsi="Arial"/>
          <w:color w:val="333333"/>
          <w:sz w:val="22"/>
          <w:szCs w:val="22"/>
        </w:rPr>
        <w:t xml:space="preserve">Supply chain contingency arrangements for medicines, consumables, and clinical equipment</w:t>
      </w:r>
    </w:p>
    <w:p>
      <w:pPr>
        <w:pStyle w:val="ListParagraph"/>
        <w:numPr>
          <w:ilvl w:val="0"/>
          <w:numId w:val="2"/>
        </w:numPr>
        <w:spacing w:after="80"/>
      </w:pPr>
      <w:r>
        <w:rPr>
          <w:rFonts w:ascii="Arial" w:cs="Arial" w:eastAsia="Arial" w:hAnsi="Arial"/>
          <w:color w:val="333333"/>
          <w:sz w:val="22"/>
          <w:szCs w:val="22"/>
        </w:rPr>
        <w:t xml:space="preserve">Patient triage and prioritisation criteria for reduced-capacity operation</w:t>
      </w:r>
    </w:p>
    <w:p>
      <w:pPr>
        <w:pStyle w:val="ListParagraph"/>
        <w:numPr>
          <w:ilvl w:val="0"/>
          <w:numId w:val="2"/>
        </w:numPr>
        <w:spacing w:after="80"/>
      </w:pPr>
      <w:r>
        <w:rPr>
          <w:rFonts w:ascii="Arial" w:cs="Arial" w:eastAsia="Arial" w:hAnsi="Arial"/>
          <w:color w:val="333333"/>
          <w:sz w:val="22"/>
          <w:szCs w:val="22"/>
        </w:rPr>
        <w:t xml:space="preserve">Recovery procedures and return to normal operations</w:t>
      </w:r>
    </w:p>
    <w:p>
      <w:pPr>
        <w:spacing w:after="0" w:before="80"/>
      </w:pPr>
    </w:p>
    <w:p>
      <w:pPr>
        <w:pStyle w:val="Heading1"/>
      </w:pPr>
      <w:r>
        <w:rPr>
          <w:rFonts w:ascii="Arial" w:cs="Arial" w:eastAsia="Arial" w:hAnsi="Arial"/>
          <w:b/>
          <w:bCs/>
          <w:color w:val="0B1D3A"/>
          <w:sz w:val="28"/>
          <w:szCs w:val="28"/>
        </w:rPr>
        <w:t xml:space="preserve">5. Emergency Response Procedures</w:t>
      </w:r>
    </w:p>
    <w:p>
      <w:pPr>
        <w:pStyle w:val="Heading2"/>
      </w:pPr>
      <w:r>
        <w:rPr>
          <w:rFonts w:ascii="Arial" w:cs="Arial" w:eastAsia="Arial" w:hAnsi="Arial"/>
          <w:b/>
          <w:bCs/>
          <w:color w:val="0B1D3A"/>
          <w:sz w:val="24"/>
          <w:szCs w:val="24"/>
        </w:rPr>
        <w:t xml:space="preserve">5.1 Fire and Evacuation</w:t>
      </w:r>
    </w:p>
    <w:p>
      <w:pPr>
        <w:spacing w:after="120"/>
        <w:jc w:val="both"/>
      </w:pPr>
      <w:r>
        <w:rPr>
          <w:rFonts w:ascii="Arial" w:cs="Arial" w:eastAsia="Arial" w:hAnsi="Arial"/>
          <w:color w:val="333333"/>
          <w:sz w:val="22"/>
          <w:szCs w:val="22"/>
        </w:rPr>
        <w:t xml:space="preserve">Fire evacuation procedures shall be documented, posted at all exits, and practised at minimum six-monthly intervals. The procedures shall account for patients with limited mobility and staff responsibilities during evacuation. Reference: Regulatory Reform (Fire Safety) Order 2005.</w:t>
      </w:r>
    </w:p>
    <w:p>
      <w:pPr>
        <w:pStyle w:val="Heading2"/>
      </w:pPr>
      <w:r>
        <w:rPr>
          <w:rFonts w:ascii="Arial" w:cs="Arial" w:eastAsia="Arial" w:hAnsi="Arial"/>
          <w:b/>
          <w:bCs/>
          <w:color w:val="0B1D3A"/>
          <w:sz w:val="24"/>
          <w:szCs w:val="24"/>
        </w:rPr>
        <w:t xml:space="preserve">5.2 Medical Emergency</w:t>
      </w:r>
    </w:p>
    <w:p>
      <w:pPr>
        <w:spacing w:after="120"/>
        <w:jc w:val="both"/>
      </w:pPr>
      <w:r>
        <w:rPr>
          <w:rFonts w:ascii="Arial" w:cs="Arial" w:eastAsia="Arial" w:hAnsi="Arial"/>
          <w:color w:val="333333"/>
          <w:sz w:val="22"/>
          <w:szCs w:val="22"/>
        </w:rPr>
        <w:t xml:space="preserve">Emergency resuscitation equipment shall be available on-site, regularly inspected, and maintained. All clinical staff shall hold current Basic Life Support (BLS) certification as a minimum. Staff involved in invasive procedures shall hold Immediate Life Support (ILS) certification. Emergency protocols (including anaphylaxis management) shall be displayed in all treatment rooms.</w:t>
      </w:r>
    </w:p>
    <w:p>
      <w:pPr>
        <w:pStyle w:val="Heading2"/>
      </w:pPr>
      <w:r>
        <w:rPr>
          <w:rFonts w:ascii="Arial" w:cs="Arial" w:eastAsia="Arial" w:hAnsi="Arial"/>
          <w:b/>
          <w:bCs/>
          <w:color w:val="0B1D3A"/>
          <w:sz w:val="24"/>
          <w:szCs w:val="24"/>
        </w:rPr>
        <w:t xml:space="preserve">5.3 Major Incident or Security Threat</w:t>
      </w:r>
    </w:p>
    <w:p>
      <w:pPr>
        <w:spacing w:after="120"/>
        <w:jc w:val="both"/>
      </w:pPr>
      <w:r>
        <w:rPr>
          <w:rFonts w:ascii="Arial" w:cs="Arial" w:eastAsia="Arial" w:hAnsi="Arial"/>
          <w:color w:val="333333"/>
          <w:sz w:val="22"/>
          <w:szCs w:val="22"/>
        </w:rPr>
        <w:t xml:space="preserve">In the event of a security threat, lockdown, or major incident, the clinic shall follow the NHS England guidance on major incident response (where applicable) and cooperate with emergency services. Staff shall be trained in lockdown procedures annually.</w:t>
      </w:r>
    </w:p>
    <w:p>
      <w:pPr>
        <w:pStyle w:val="Heading2"/>
      </w:pPr>
      <w:r>
        <w:rPr>
          <w:rFonts w:ascii="Arial" w:cs="Arial" w:eastAsia="Arial" w:hAnsi="Arial"/>
          <w:b/>
          <w:bCs/>
          <w:color w:val="0B1D3A"/>
          <w:sz w:val="24"/>
          <w:szCs w:val="24"/>
        </w:rPr>
        <w:t xml:space="preserve">5.4 Pandemic or Infectious Disease Outbreak</w:t>
      </w:r>
    </w:p>
    <w:p>
      <w:pPr>
        <w:spacing w:after="120"/>
        <w:jc w:val="both"/>
      </w:pPr>
      <w:r>
        <w:rPr>
          <w:rFonts w:ascii="Arial" w:cs="Arial" w:eastAsia="Arial" w:hAnsi="Arial"/>
          <w:color w:val="333333"/>
          <w:sz w:val="22"/>
          <w:szCs w:val="22"/>
        </w:rPr>
        <w:t xml:space="preserve">The clinic shall maintain a pandemic preparedness plan addressing PPE stockpiling, staff redeployment, remote consultation capability, enhanced IPC measures, and communication with UKHSA and local Health Protection Teams.</w:t>
      </w:r>
    </w:p>
    <w:p>
      <w:pPr>
        <w:pStyle w:val="Heading1"/>
      </w:pPr>
      <w:r>
        <w:rPr>
          <w:rFonts w:ascii="Arial" w:cs="Arial" w:eastAsia="Arial" w:hAnsi="Arial"/>
          <w:b/>
          <w:bCs/>
          <w:color w:val="0B1D3A"/>
          <w:sz w:val="28"/>
          <w:szCs w:val="28"/>
        </w:rPr>
        <w:t xml:space="preserve">6. IT Disaster Recovery</w:t>
      </w:r>
    </w:p>
    <w:p>
      <w:pPr>
        <w:spacing w:after="120"/>
        <w:jc w:val="both"/>
      </w:pPr>
      <w:r>
        <w:rPr>
          <w:rFonts w:ascii="Arial" w:cs="Arial" w:eastAsia="Arial" w:hAnsi="Arial"/>
          <w:color w:val="333333"/>
          <w:sz w:val="22"/>
          <w:szCs w:val="22"/>
        </w:rPr>
        <w:t xml:space="preserve">[Insert Organisation Name] shall maintain an IT disaster recovery plan covering backup procedures (minimum daily automated backup of all clinical data), recovery time objectives (RTO) and recovery point objectives (RPO) for clinical systems, arrangements with IT service providers for emergency support, and access to clinical records during system downtime (paper-based or alternative electronic access). The IT disaster recovery plan shall be tested at minimum annually.</w:t>
      </w:r>
    </w:p>
    <w:p>
      <w:pPr>
        <w:pStyle w:val="Heading1"/>
      </w:pPr>
      <w:r>
        <w:rPr>
          <w:rFonts w:ascii="Arial" w:cs="Arial" w:eastAsia="Arial" w:hAnsi="Arial"/>
          <w:b/>
          <w:bCs/>
          <w:color w:val="0B1D3A"/>
          <w:sz w:val="28"/>
          <w:szCs w:val="28"/>
        </w:rPr>
        <w:t xml:space="preserve">7. Communication During Disruption</w:t>
      </w:r>
    </w:p>
    <w:p>
      <w:pPr>
        <w:spacing w:after="120"/>
        <w:jc w:val="both"/>
      </w:pPr>
      <w:r>
        <w:rPr>
          <w:rFonts w:ascii="Arial" w:cs="Arial" w:eastAsia="Arial" w:hAnsi="Arial"/>
          <w:color w:val="333333"/>
          <w:sz w:val="22"/>
          <w:szCs w:val="22"/>
        </w:rPr>
        <w:t xml:space="preserve">An up-to-date contact list of all staff, key suppliers, and regulatory bodies shall be maintained and accessible both electronically and in hard copy. Communication protocols shall specify who is authorised to communicate with the media, patients, CQC, and other external bodies during an incident.</w:t>
      </w:r>
    </w:p>
    <w:p>
      <w:pPr>
        <w:pStyle w:val="Heading1"/>
      </w:pPr>
      <w:r>
        <w:rPr>
          <w:rFonts w:ascii="Arial" w:cs="Arial" w:eastAsia="Arial" w:hAnsi="Arial"/>
          <w:b/>
          <w:bCs/>
          <w:color w:val="0B1D3A"/>
          <w:sz w:val="28"/>
          <w:szCs w:val="28"/>
        </w:rPr>
        <w:t xml:space="preserve">8. Testing and Exercising</w:t>
      </w:r>
    </w:p>
    <w:p>
      <w:pPr>
        <w:spacing w:after="120"/>
        <w:jc w:val="both"/>
      </w:pPr>
      <w:r>
        <w:rPr>
          <w:rFonts w:ascii="Arial" w:cs="Arial" w:eastAsia="Arial" w:hAnsi="Arial"/>
          <w:color w:val="333333"/>
          <w:sz w:val="22"/>
          <w:szCs w:val="22"/>
        </w:rPr>
        <w:t xml:space="preserve">The business continuity plan shall be tested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13"/>
        <w:gridCol w:w="2513"/>
        <w:gridCol w:w="3000"/>
      </w:tblGrid>
      <w:tr>
        <w:tc>
          <w:tcPr>
            <w:tcW w:type="dxa" w:w="3513"/>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 of Exercise</w:t>
            </w:r>
          </w:p>
        </w:tc>
        <w:tc>
          <w:tcPr>
            <w:tcW w:type="dxa" w:w="2513"/>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Frequency</w:t>
            </w:r>
          </w:p>
        </w:tc>
        <w:tc>
          <w:tcPr>
            <w:tcW w:type="dxa" w:w="30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Responsible Person</w:t>
            </w:r>
          </w:p>
        </w:tc>
      </w:tr>
      <w:tr>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Desktop / tabletop exercise</w:t>
            </w:r>
          </w:p>
        </w:tc>
        <w:tc>
          <w:tcPr>
            <w:tcW w:type="dxa" w:w="2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Annually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Registered Manager</w:t>
            </w:r>
          </w:p>
        </w:tc>
      </w:tr>
      <w:tr>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Fire evacuation drill</w:t>
            </w:r>
          </w:p>
        </w:tc>
        <w:tc>
          <w:tcPr>
            <w:tcW w:type="dxa" w:w="2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Six-monthly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Fire Safety Lead</w:t>
            </w:r>
          </w:p>
        </w:tc>
      </w:tr>
      <w:tr>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IT disaster recovery test</w:t>
            </w:r>
          </w:p>
        </w:tc>
        <w:tc>
          <w:tcPr>
            <w:tcW w:type="dxa" w:w="2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Annually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IT Lead / Provider</w:t>
            </w:r>
          </w:p>
        </w:tc>
      </w:tr>
      <w:tr>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Communication cascade test</w:t>
            </w:r>
          </w:p>
        </w:tc>
        <w:tc>
          <w:tcPr>
            <w:tcW w:type="dxa" w:w="2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Six-monthly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Registered Manager</w:t>
            </w:r>
          </w:p>
        </w:tc>
      </w:tr>
      <w:tr>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Full live exercise (optional)</w:t>
            </w:r>
          </w:p>
        </w:tc>
        <w:tc>
          <w:tcPr>
            <w:tcW w:type="dxa" w:w="2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Every 2–3 years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Registered Manager</w:t>
            </w:r>
          </w:p>
        </w:tc>
      </w:tr>
    </w:tbl>
    <w:p>
      <w:pPr>
        <w:spacing w:after="0" w:before="120"/>
      </w:pPr>
    </w:p>
    <w:p>
      <w:pPr>
        <w:pStyle w:val="Heading1"/>
      </w:pPr>
      <w:r>
        <w:rPr>
          <w:rFonts w:ascii="Arial" w:cs="Arial" w:eastAsia="Arial" w:hAnsi="Arial"/>
          <w:b/>
          <w:bCs/>
          <w:color w:val="0B1D3A"/>
          <w:sz w:val="28"/>
          <w:szCs w:val="28"/>
        </w:rPr>
        <w:t xml:space="preserve">9. Notifications</w:t>
      </w:r>
    </w:p>
    <w:p>
      <w:pPr>
        <w:spacing w:after="120"/>
        <w:jc w:val="both"/>
      </w:pPr>
      <w:r>
        <w:rPr>
          <w:rFonts w:ascii="Arial" w:cs="Arial" w:eastAsia="Arial" w:hAnsi="Arial"/>
          <w:color w:val="333333"/>
          <w:sz w:val="22"/>
          <w:szCs w:val="22"/>
        </w:rPr>
        <w:t xml:space="preserve">In the event of a significant disruption, [Insert Organisation Name] shall notify CQC of any event that prevents or may prevent the service provider from carrying on the regulated activity safely (Regulation 18 of the CQC (Registration) Regulations 2009). The local authority and commissioners shall also be notified where appropriate.</w:t>
      </w:r>
    </w:p>
    <w:p>
      <w:pPr>
        <w:pStyle w:val="Heading1"/>
      </w:pPr>
      <w:r>
        <w:rPr>
          <w:rFonts w:ascii="Arial" w:cs="Arial" w:eastAsia="Arial" w:hAnsi="Arial"/>
          <w:b/>
          <w:bCs/>
          <w:color w:val="0B1D3A"/>
          <w:sz w:val="28"/>
          <w:szCs w:val="28"/>
        </w:rPr>
        <w:t xml:space="preserve">10. Review</w:t>
      </w:r>
    </w:p>
    <w:p>
      <w:pPr>
        <w:spacing w:after="120"/>
        <w:jc w:val="both"/>
      </w:pPr>
      <w:r>
        <w:rPr>
          <w:rFonts w:ascii="Arial" w:cs="Arial" w:eastAsia="Arial" w:hAnsi="Arial"/>
          <w:color w:val="333333"/>
          <w:sz w:val="22"/>
          <w:szCs w:val="22"/>
        </w:rPr>
        <w:t xml:space="preserve">This policy and the associated BCP shall be reviewed annually, following any invocation of the plan, or following any significant organisational, regulatory, or environmental change.</w:t>
      </w:r>
    </w:p>
    <w:p>
      <w:r>
        <w:br w:type="page"/>
      </w:r>
    </w:p>
    <w:p>
      <w:pPr>
        <w:pStyle w:val="Heading1"/>
      </w:pPr>
      <w:r>
        <w:rPr>
          <w:rFonts w:ascii="Arial" w:cs="Arial" w:eastAsia="Arial" w:hAnsi="Arial"/>
          <w:b/>
          <w:bCs/>
          <w:color w:val="0B1D3A"/>
          <w:sz w:val="28"/>
          <w:szCs w:val="28"/>
        </w:rPr>
        <w:t xml:space="preserve">Applicable Legislation and Regulatory Framework</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Legislation / Regulation</w:t>
            </w:r>
          </w:p>
        </w:tc>
        <w:tc>
          <w:tcPr>
            <w:tcW w:type="dxa" w:w="4513"/>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Relevance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Health and Social Care Act 2008 (Regulated Activities) Regulations 2014, Regulation 17</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Good governance – business continuity and risk management</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CQC (Registration) Regulations 2009, Regulation 18</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Notification of other incidents including business disruption</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Civil Contingencies Act 2004</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Framework for civil protection and business continuity</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Regulatory Reform (Fire Safety) Order 2005</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Fire risk assessment and emergency evacuation</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Health and Safety at Work etc. Act 1974</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General duty to ensure safety of employees and others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Management of Health and Safety at Work Regulations 1999</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Emergency procedures and competent persons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Data Protection Act 2018 / UK GDPR</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Protection of personal data during and after incidents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Resuscitation Council UK Guidelines</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Standards for emergency resuscitation provision</w:t>
            </w:r>
          </w:p>
        </w:tc>
      </w:tr>
    </w:tbl>
    <w:p>
      <w:pPr>
        <w:spacing w:after="0" w:before="200"/>
      </w:pPr>
    </w:p>
    <w:p>
      <w:pPr>
        <w:pStyle w:val="Heading1"/>
      </w:pPr>
      <w:r>
        <w:rPr>
          <w:rFonts w:ascii="Arial" w:cs="Arial" w:eastAsia="Arial" w:hAnsi="Arial"/>
          <w:b/>
          <w:bCs/>
          <w:color w:val="0B1D3A"/>
          <w:sz w:val="28"/>
          <w:szCs w:val="28"/>
        </w:rPr>
        <w:t xml:space="preserve">Document Approval and Sign-Off</w:t>
      </w:r>
    </w:p>
    <w:p>
      <w:pPr>
        <w:spacing w:after="120"/>
        <w:jc w:val="both"/>
      </w:pPr>
      <w:r>
        <w:rPr>
          <w:rFonts w:ascii="Arial" w:cs="Arial" w:eastAsia="Arial" w:hAnsi="Arial"/>
          <w:color w:val="333333"/>
          <w:sz w:val="22"/>
          <w:szCs w:val="22"/>
        </w:rPr>
        <w:t xml:space="preserve">This policy has been reviewed and approved by the following authorised personnel. By signing below, each confirms they have read, understood, and agree to uphold the requirements set out in this document.</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Role</w:t>
            </w:r>
          </w:p>
        </w:tc>
        <w:tc>
          <w:tcPr>
            <w:tcW w:type="dxa" w:w="2256"/>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Name</w:t>
            </w:r>
          </w:p>
        </w:tc>
        <w:tc>
          <w:tcPr>
            <w:tcW w:type="dxa" w:w="2257"/>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Signature</w:t>
            </w:r>
          </w:p>
        </w:tc>
        <w:tc>
          <w:tcPr>
            <w:tcW w:type="dxa" w:w="2257"/>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Date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Registered Manager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Clinical Lead / Medical Director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Compliance Officer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CQC Nominated Individual</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bl>
    <w:p>
      <w:pPr>
        <w:spacing w:after="0" w:before="200"/>
      </w:pPr>
    </w:p>
    <w:p>
      <w:pPr>
        <w:pStyle w:val="Heading1"/>
      </w:pPr>
      <w:r>
        <w:rPr>
          <w:rFonts w:ascii="Arial" w:cs="Arial" w:eastAsia="Arial" w:hAnsi="Arial"/>
          <w:b/>
          <w:bCs/>
          <w:color w:val="0B1D3A"/>
          <w:sz w:val="28"/>
          <w:szCs w:val="28"/>
        </w:rPr>
        <w:t xml:space="preserve">Version History</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026"/>
        <w:gridCol w:w="1600"/>
        <w:gridCol w:w="1600"/>
      </w:tblGrid>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Version</w:t>
            </w:r>
          </w:p>
        </w:tc>
        <w:tc>
          <w:tcPr>
            <w:tcW w:type="dxa" w:w="16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Date</w:t>
            </w:r>
          </w:p>
        </w:tc>
        <w:tc>
          <w:tcPr>
            <w:tcW w:type="dxa" w:w="3026"/>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Changes Made</w:t>
            </w:r>
          </w:p>
        </w:tc>
        <w:tc>
          <w:tcPr>
            <w:tcW w:type="dxa" w:w="16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Author</w:t>
            </w:r>
          </w:p>
        </w:tc>
        <w:tc>
          <w:tcPr>
            <w:tcW w:type="dxa" w:w="16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Initial issue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r>
    </w:tbl>
    <w:p>
      <w:pPr>
        <w:spacing w:after="0" w:before="200"/>
      </w:pPr>
    </w:p>
    <w:p>
      <w:pPr>
        <w:pBdr>
          <w:bottom w:val="single" w:color="0B1D3A" w:sz="6" w:space="1"/>
        </w:pBdr>
        <w:spacing w:after="100" w:before="100"/>
      </w:pPr>
    </w:p>
    <w:p>
      <w:pPr>
        <w:spacing w:after="0" w:before="80"/>
      </w:pPr>
      <w:r>
        <w:rPr>
          <w:rFonts w:ascii="Arial" w:cs="Arial" w:eastAsia="Arial" w:hAnsi="Arial"/>
          <w:i/>
          <w:iCs/>
          <w:color w:val="999999"/>
          <w:sz w:val="16"/>
          <w:szCs w:val="16"/>
        </w:rPr>
        <w:t xml:space="preserve">Disclaimer: This template is provided by Barker Scott Ltd as a general compliance resource for CQC-regulated private health clinics. It must be customised to reflect the specific operations, services, and circumstances of [Insert Organisation Name]. Barker Scott Ltd accepts no liability for regulatory outcomes arising from use of this template. Independent legal and clinical advice should be sought as appropriate.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4"/>
      </w:pBdr>
      <w:tabs>
        <w:tab w:val="right" w:pos="9026"/>
      </w:tabs>
      <w:spacing w:before="0"/>
    </w:pPr>
    <w:r>
      <w:rPr>
        <w:rFonts w:ascii="Arial" w:cs="Arial" w:eastAsia="Arial" w:hAnsi="Arial"/>
        <w:color w:val="999999"/>
        <w:sz w:val="16"/>
        <w:szCs w:val="16"/>
      </w:rPr>
      <w:t xml:space="preserve">Ref: BS-PHC-BC-010 | Version 1.0</w:t>
    </w:r>
    <w:r>
      <w:rPr>
        <w:rFonts w:ascii="Arial" w:cs="Arial" w:eastAsia="Arial" w:hAnsi="Arial"/>
        <w:color w:val="D4AF37"/>
        <w:sz w:val="16"/>
        <w:szCs w:val="16"/>
      </w:rPr>
      <w:t xml:space="preserve">	barker-scott.co.uk</w:t>
    </w:r>
  </w:p>
  <w:p>
    <w:pPr>
      <w:spacing w:after="0" w:before="40"/>
    </w:pPr>
    <w:r>
      <w:rPr>
        <w:rFonts w:ascii="Arial" w:cs="Arial" w:eastAsia="Arial" w:hAnsi="Arial"/>
        <w:i/>
        <w:iCs/>
        <w:color w:val="999999"/>
        <w:sz w:val="14"/>
        <w:szCs w:val="14"/>
      </w:rPr>
      <w:t xml:space="preserve">© Barker Scott Ltd. All rights reserved. Unauthorised reproduction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4" w:space="4"/>
      </w:pBdr>
      <w:tabs>
        <w:tab w:val="right" w:pos="9026"/>
      </w:tabs>
      <w:spacing w:after="0"/>
    </w:pPr>
    <w:r>
      <w:rPr>
        <w:rFonts w:ascii="Arial" w:cs="Arial" w:eastAsia="Arial" w:hAnsi="Arial"/>
        <w:b/>
        <w:bCs/>
        <w:color w:val="0B1D3A"/>
        <w:sz w:val="18"/>
        <w:szCs w:val="18"/>
      </w:rPr>
      <w:t xml:space="preserve">BARKER SCOTT</w:t>
    </w:r>
    <w:r>
      <w:rPr>
        <w:rFonts w:ascii="Arial" w:cs="Arial" w:eastAsia="Arial" w:hAnsi="Arial"/>
        <w:color w:val="999999"/>
        <w:sz w:val="16"/>
        <w:szCs w:val="16"/>
      </w:rPr>
      <w:t xml:space="preserve">	Business Continuity and Emergency Planning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1D3A"/>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0B1D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2026-05-15T09:14:28.351Z</dcterms:created>
  <dcterms:modified xsi:type="dcterms:W3CDTF">2026-05-15T09:14:28.351Z</dcterms:modified>
</cp:coreProperties>
</file>

<file path=docProps/custom.xml><?xml version="1.0" encoding="utf-8"?>
<Properties xmlns="http://schemas.openxmlformats.org/officeDocument/2006/custom-properties" xmlns:vt="http://schemas.openxmlformats.org/officeDocument/2006/docPropsVTypes"/>
</file>