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Clinical Governance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BS-PHC-CG-006</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Clinical Governance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BS-PHC-CG-006</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establishes the clinical governance framework for [Insert Organisation Name], ensuring that systems and processes are in place to continuously improve the quality and safety of clinical care. It ensures compliance with the Health and Social Care Act 2008 (Regulated Activities) Regulations 2014 (Regulation 17 – Good Governance) and aligns with the CQC’s five key lines of enquiry: Safe, Effective, Caring, Responsive, and Well-Led.</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all clinical and non-clinical services provided by [Insert Organisation Name]. It covers the governance of clinical quality, patient safety, risk management, clinical audit, staff development, information governance, and service user engagement.</w:t>
      </w:r>
    </w:p>
    <w:p>
      <w:pPr>
        <w:pStyle w:val="Heading1"/>
      </w:pPr>
      <w:r>
        <w:rPr>
          <w:rFonts w:ascii="Arial" w:cs="Arial" w:eastAsia="Arial" w:hAnsi="Arial"/>
          <w:b/>
          <w:bCs/>
          <w:color w:val="0B1D3A"/>
          <w:sz w:val="28"/>
          <w:szCs w:val="28"/>
        </w:rPr>
        <w:t xml:space="preserve">3. Governance Structure</w:t>
      </w:r>
    </w:p>
    <w:p>
      <w:pPr>
        <w:pStyle w:val="Heading2"/>
      </w:pPr>
      <w:r>
        <w:rPr>
          <w:rFonts w:ascii="Arial" w:cs="Arial" w:eastAsia="Arial" w:hAnsi="Arial"/>
          <w:b/>
          <w:bCs/>
          <w:color w:val="0B1D3A"/>
          <w:sz w:val="24"/>
          <w:szCs w:val="24"/>
        </w:rPr>
        <w:t xml:space="preserve">3.1 Board / Director Level Accountability</w:t>
      </w:r>
    </w:p>
    <w:p>
      <w:pPr>
        <w:spacing w:after="120"/>
        <w:jc w:val="both"/>
      </w:pPr>
      <w:r>
        <w:rPr>
          <w:rFonts w:ascii="Arial" w:cs="Arial" w:eastAsia="Arial" w:hAnsi="Arial"/>
          <w:color w:val="333333"/>
          <w:sz w:val="22"/>
          <w:szCs w:val="22"/>
        </w:rPr>
        <w:t xml:space="preserve">The Clinic Director or Registered Manager holds overall accountability for clinical governance. A named Clinical Governance Lead shall be appointed with delegated responsibility for implementing and monitoring the governance framework. Where applicable, a Medical Advisory Committee (MAC) shall provide clinical oversight and peer review.</w:t>
      </w:r>
    </w:p>
    <w:p>
      <w:pPr>
        <w:pStyle w:val="Heading2"/>
      </w:pPr>
      <w:r>
        <w:rPr>
          <w:rFonts w:ascii="Arial" w:cs="Arial" w:eastAsia="Arial" w:hAnsi="Arial"/>
          <w:b/>
          <w:bCs/>
          <w:color w:val="0B1D3A"/>
          <w:sz w:val="24"/>
          <w:szCs w:val="24"/>
        </w:rPr>
        <w:t xml:space="preserve">3.2 Governance Meetings</w:t>
      </w:r>
    </w:p>
    <w:p>
      <w:pPr>
        <w:spacing w:after="120"/>
        <w:jc w:val="both"/>
      </w:pPr>
      <w:r>
        <w:rPr>
          <w:rFonts w:ascii="Arial" w:cs="Arial" w:eastAsia="Arial" w:hAnsi="Arial"/>
          <w:color w:val="333333"/>
          <w:sz w:val="22"/>
          <w:szCs w:val="22"/>
        </w:rPr>
        <w:t xml:space="preserve">Clinical governance meetings shall be held at minimum quarterly and shall receive and review reports on clinical incidents, complaints, clinical audit outcomes, staffing and training compliance, risk register updates, and patient feedback. Minutes shall be formally recorded and actions tracked to completion.</w:t>
      </w:r>
    </w:p>
    <w:p>
      <w:pPr>
        <w:pStyle w:val="Heading1"/>
      </w:pPr>
      <w:r>
        <w:rPr>
          <w:rFonts w:ascii="Arial" w:cs="Arial" w:eastAsia="Arial" w:hAnsi="Arial"/>
          <w:b/>
          <w:bCs/>
          <w:color w:val="0B1D3A"/>
          <w:sz w:val="28"/>
          <w:szCs w:val="28"/>
        </w:rPr>
        <w:t xml:space="preserve">4. Clinical Quality and Effectiveness</w:t>
      </w:r>
    </w:p>
    <w:p>
      <w:pPr>
        <w:pStyle w:val="Heading2"/>
      </w:pPr>
      <w:r>
        <w:rPr>
          <w:rFonts w:ascii="Arial" w:cs="Arial" w:eastAsia="Arial" w:hAnsi="Arial"/>
          <w:b/>
          <w:bCs/>
          <w:color w:val="0B1D3A"/>
          <w:sz w:val="24"/>
          <w:szCs w:val="24"/>
        </w:rPr>
        <w:t xml:space="preserve">4.1 Evidence-Based Practice</w:t>
      </w:r>
    </w:p>
    <w:p>
      <w:pPr>
        <w:spacing w:after="120"/>
        <w:jc w:val="both"/>
      </w:pPr>
      <w:r>
        <w:rPr>
          <w:rFonts w:ascii="Arial" w:cs="Arial" w:eastAsia="Arial" w:hAnsi="Arial"/>
          <w:color w:val="333333"/>
          <w:sz w:val="22"/>
          <w:szCs w:val="22"/>
        </w:rPr>
        <w:t xml:space="preserve">All clinical care shall be delivered in accordance with current NICE guidelines, professional body standards, and published evidence base. Clinical protocols and care pathways shall be documented, version-controlled, and reviewed at minimum annually.</w:t>
      </w:r>
    </w:p>
    <w:p>
      <w:pPr>
        <w:pStyle w:val="Heading2"/>
      </w:pPr>
      <w:r>
        <w:rPr>
          <w:rFonts w:ascii="Arial" w:cs="Arial" w:eastAsia="Arial" w:hAnsi="Arial"/>
          <w:b/>
          <w:bCs/>
          <w:color w:val="0B1D3A"/>
          <w:sz w:val="24"/>
          <w:szCs w:val="24"/>
        </w:rPr>
        <w:t xml:space="preserve">4.2 Clinical Audit Programme</w:t>
      </w:r>
    </w:p>
    <w:p>
      <w:pPr>
        <w:spacing w:after="120"/>
        <w:jc w:val="both"/>
      </w:pPr>
      <w:r>
        <w:rPr>
          <w:rFonts w:ascii="Arial" w:cs="Arial" w:eastAsia="Arial" w:hAnsi="Arial"/>
          <w:color w:val="333333"/>
          <w:sz w:val="22"/>
          <w:szCs w:val="22"/>
        </w:rPr>
        <w:t xml:space="preserve">[Insert Organisation Name] shall maintain a rolling clinical audit programme. Audit topics shall be selected based on risk assessment, incident trends, complaints themes, and national priorities. Audits shall follow the recognised audit cycle (standards → data collection → analysis → action plan → re-audit). Audit findings and resulting actions shall be reported to the governance meeting.</w:t>
      </w:r>
    </w:p>
    <w:p>
      <w:pPr>
        <w:pStyle w:val="Heading2"/>
      </w:pPr>
      <w:r>
        <w:rPr>
          <w:rFonts w:ascii="Arial" w:cs="Arial" w:eastAsia="Arial" w:hAnsi="Arial"/>
          <w:b/>
          <w:bCs/>
          <w:color w:val="0B1D3A"/>
          <w:sz w:val="24"/>
          <w:szCs w:val="24"/>
        </w:rPr>
        <w:t xml:space="preserve">4.3 Peer Review and Revalidation</w:t>
      </w:r>
    </w:p>
    <w:p>
      <w:pPr>
        <w:spacing w:after="120"/>
        <w:jc w:val="both"/>
      </w:pPr>
      <w:r>
        <w:rPr>
          <w:rFonts w:ascii="Arial" w:cs="Arial" w:eastAsia="Arial" w:hAnsi="Arial"/>
          <w:color w:val="333333"/>
          <w:sz w:val="22"/>
          <w:szCs w:val="22"/>
        </w:rPr>
        <w:t xml:space="preserve">The clinic shall support medical practitioners in meeting their revalidation requirements under the Medical Profession (Responsible Officers) Regulations 2010. Peer review, case discussion, and reflective practice shall form part of routine clinical activity.</w:t>
      </w:r>
    </w:p>
    <w:p>
      <w:pPr>
        <w:pStyle w:val="Heading1"/>
      </w:pPr>
      <w:r>
        <w:rPr>
          <w:rFonts w:ascii="Arial" w:cs="Arial" w:eastAsia="Arial" w:hAnsi="Arial"/>
          <w:b/>
          <w:bCs/>
          <w:color w:val="0B1D3A"/>
          <w:sz w:val="28"/>
          <w:szCs w:val="28"/>
        </w:rPr>
        <w:t xml:space="preserve">5. Patient Safety and Risk Management</w:t>
      </w:r>
    </w:p>
    <w:p>
      <w:pPr>
        <w:pStyle w:val="Heading2"/>
      </w:pPr>
      <w:r>
        <w:rPr>
          <w:rFonts w:ascii="Arial" w:cs="Arial" w:eastAsia="Arial" w:hAnsi="Arial"/>
          <w:b/>
          <w:bCs/>
          <w:color w:val="0B1D3A"/>
          <w:sz w:val="24"/>
          <w:szCs w:val="24"/>
        </w:rPr>
        <w:t xml:space="preserve">5.1 Incident Reporting</w:t>
      </w:r>
    </w:p>
    <w:p>
      <w:pPr>
        <w:spacing w:after="120"/>
        <w:jc w:val="both"/>
      </w:pPr>
      <w:r>
        <w:rPr>
          <w:rFonts w:ascii="Arial" w:cs="Arial" w:eastAsia="Arial" w:hAnsi="Arial"/>
          <w:color w:val="333333"/>
          <w:sz w:val="22"/>
          <w:szCs w:val="22"/>
        </w:rPr>
        <w:t xml:space="preserve">All clinical incidents, near-misses, and never events shall be reported via the clinic’s incident reporting system. Serious incidents shall be reported to CQC via statutory notification and investigated using root cause analysis (RCA) methodology. Findings shall be shared with relevant staff and actions monitored.</w:t>
      </w:r>
    </w:p>
    <w:p>
      <w:pPr>
        <w:pStyle w:val="Heading2"/>
      </w:pPr>
      <w:r>
        <w:rPr>
          <w:rFonts w:ascii="Arial" w:cs="Arial" w:eastAsia="Arial" w:hAnsi="Arial"/>
          <w:b/>
          <w:bCs/>
          <w:color w:val="0B1D3A"/>
          <w:sz w:val="24"/>
          <w:szCs w:val="24"/>
        </w:rPr>
        <w:t xml:space="preserve">5.2 Risk Register</w:t>
      </w:r>
    </w:p>
    <w:p>
      <w:pPr>
        <w:spacing w:after="120"/>
        <w:jc w:val="both"/>
      </w:pPr>
      <w:r>
        <w:rPr>
          <w:rFonts w:ascii="Arial" w:cs="Arial" w:eastAsia="Arial" w:hAnsi="Arial"/>
          <w:color w:val="333333"/>
          <w:sz w:val="22"/>
          <w:szCs w:val="22"/>
        </w:rPr>
        <w:t xml:space="preserve">A clinical risk register shall be maintained, identifying risks to patient safety, service delivery, and regulatory compliance. Risks shall be scored using a standardised risk matrix (likelihood x impact), assigned to a responsible owner, and reviewed at each governance meeting.</w:t>
      </w:r>
    </w:p>
    <w:p>
      <w:pPr>
        <w:pStyle w:val="Heading1"/>
      </w:pPr>
      <w:r>
        <w:rPr>
          <w:rFonts w:ascii="Arial" w:cs="Arial" w:eastAsia="Arial" w:hAnsi="Arial"/>
          <w:b/>
          <w:bCs/>
          <w:color w:val="0B1D3A"/>
          <w:sz w:val="28"/>
          <w:szCs w:val="28"/>
        </w:rPr>
        <w:t xml:space="preserve">6. Patient and Service User Engagement</w:t>
      </w:r>
    </w:p>
    <w:p>
      <w:pPr>
        <w:spacing w:after="120"/>
        <w:jc w:val="both"/>
      </w:pPr>
      <w:r>
        <w:rPr>
          <w:rFonts w:ascii="Arial" w:cs="Arial" w:eastAsia="Arial" w:hAnsi="Arial"/>
          <w:color w:val="333333"/>
          <w:sz w:val="22"/>
          <w:szCs w:val="22"/>
        </w:rPr>
        <w:t xml:space="preserve">[Insert Organisation Name] shall actively seek and respond to patient feedback through patient satisfaction surveys, online reviews, suggestion boxes, and complaints and compliments analysis. Feedback shall be reviewed at governance meetings and used to inform service improvement plans.</w:t>
      </w:r>
    </w:p>
    <w:p>
      <w:pPr>
        <w:pStyle w:val="Heading1"/>
      </w:pPr>
      <w:r>
        <w:rPr>
          <w:rFonts w:ascii="Arial" w:cs="Arial" w:eastAsia="Arial" w:hAnsi="Arial"/>
          <w:b/>
          <w:bCs/>
          <w:color w:val="0B1D3A"/>
          <w:sz w:val="28"/>
          <w:szCs w:val="28"/>
        </w:rPr>
        <w:t xml:space="preserve">7. Information Governance</w:t>
      </w:r>
    </w:p>
    <w:p>
      <w:pPr>
        <w:spacing w:after="120"/>
        <w:jc w:val="both"/>
      </w:pPr>
      <w:r>
        <w:rPr>
          <w:rFonts w:ascii="Arial" w:cs="Arial" w:eastAsia="Arial" w:hAnsi="Arial"/>
          <w:color w:val="333333"/>
          <w:sz w:val="22"/>
          <w:szCs w:val="22"/>
        </w:rPr>
        <w:t xml:space="preserve">The clinic shall comply with UK GDPR, the Data Protection Act 2018, and the Caldicott Principles. A Data Protection Officer (or designated lead) shall be appointed. Annual information governance training shall be mandatory for all staff. Data breaches shall be reported to the ICO within 72 hours where they meet the threshold for reporting.</w:t>
      </w:r>
    </w:p>
    <w:p>
      <w:pPr>
        <w:pStyle w:val="Heading1"/>
      </w:pPr>
      <w:r>
        <w:rPr>
          <w:rFonts w:ascii="Arial" w:cs="Arial" w:eastAsia="Arial" w:hAnsi="Arial"/>
          <w:b/>
          <w:bCs/>
          <w:color w:val="0B1D3A"/>
          <w:sz w:val="28"/>
          <w:szCs w:val="28"/>
        </w:rPr>
        <w:t xml:space="preserve">8. Training, Development, and Supervision</w:t>
      </w:r>
    </w:p>
    <w:p>
      <w:pPr>
        <w:spacing w:after="120"/>
        <w:jc w:val="both"/>
      </w:pPr>
      <w:r>
        <w:rPr>
          <w:rFonts w:ascii="Arial" w:cs="Arial" w:eastAsia="Arial" w:hAnsi="Arial"/>
          <w:color w:val="333333"/>
          <w:sz w:val="22"/>
          <w:szCs w:val="22"/>
        </w:rPr>
        <w:t xml:space="preserve">All clinical staff shall have access to continuing professional development (CPD), clinical supervision, and annual appraisal. Training compliance shall be tracked centrally and reported to the governance meeting. Mandatory training shall include safeguarding, IPC, medicines management, consent, data protection, equality and diversity, and fire safety.</w:t>
      </w: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17</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Good governance – systems and processes for quality and safety</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Safe care and treatment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20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Duty of Candour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Data Protection Act 2018 / UK GDPR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Information governance and data protection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Medical Profession (Responsible Officers) Regulations 2010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Medical revalidation and appraisal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NICE Quality Standards and Clinical Guidelines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Evidence base for clinical care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Fundamental Standards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Minimum quality and safety standards for registered providers</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BS-PHC-CG-006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Clinical Governance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2026-05-15T09:14:27.996Z</dcterms:created>
  <dcterms:modified xsi:type="dcterms:W3CDTF">2026-05-15T09:14:27.996Z</dcterms:modified>
</cp:coreProperties>
</file>

<file path=docProps/custom.xml><?xml version="1.0" encoding="utf-8"?>
<Properties xmlns="http://schemas.openxmlformats.org/officeDocument/2006/custom-properties" xmlns:vt="http://schemas.openxmlformats.org/officeDocument/2006/docPropsVTypes"/>
</file>