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Complaints Handling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BS-PHC-CH-004</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Complaints Handling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BS-PHC-CH-004</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a fair, transparent, and accessible complaints procedure for patients, their families, carers, and representatives of [Insert Organisation Name]. It ensures compliance with the Health and Social Care Act 2008 (Regulated Activities) Regulations 2014 (Regulation 16 – Receiving and Acting on Complaints), the Local Authority Social Services and National Health Service Complaints (England) Regulations 2009, and the NHS Constitution.</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complaints and concerns raised about the care, treatment, or services provided by [Insert Organisation Name], including those received verbally, in writing, by email, or via the clinic’s website. It covers complaints from patients, relatives, carers, advocates, and any person affected by the actions or omissions of the clinic.</w:t>
      </w:r>
    </w:p>
    <w:p>
      <w:pPr>
        <w:pStyle w:val="Heading1"/>
      </w:pPr>
      <w:r>
        <w:rPr>
          <w:rFonts w:ascii="Arial" w:cs="Arial" w:eastAsia="Arial" w:hAnsi="Arial"/>
          <w:b/>
          <w:bCs/>
          <w:color w:val="0B1D3A"/>
          <w:sz w:val="28"/>
          <w:szCs w:val="28"/>
        </w:rPr>
        <w:t xml:space="preserve">3. Principles</w:t>
      </w:r>
    </w:p>
    <w:p>
      <w:pPr>
        <w:pStyle w:val="ListParagraph"/>
        <w:numPr>
          <w:ilvl w:val="0"/>
          <w:numId w:val="2"/>
        </w:numPr>
        <w:spacing w:after="80"/>
      </w:pPr>
      <w:r>
        <w:rPr>
          <w:rFonts w:ascii="Arial" w:cs="Arial" w:eastAsia="Arial" w:hAnsi="Arial"/>
          <w:color w:val="333333"/>
          <w:sz w:val="22"/>
          <w:szCs w:val="22"/>
        </w:rPr>
        <w:t xml:space="preserve">Complaints will be treated seriously, sensitively, and without prejudice to the complainant’s ongoing care</w:t>
      </w:r>
    </w:p>
    <w:p>
      <w:pPr>
        <w:pStyle w:val="ListParagraph"/>
        <w:numPr>
          <w:ilvl w:val="0"/>
          <w:numId w:val="2"/>
        </w:numPr>
        <w:spacing w:after="80"/>
      </w:pPr>
      <w:r>
        <w:rPr>
          <w:rFonts w:ascii="Arial" w:cs="Arial" w:eastAsia="Arial" w:hAnsi="Arial"/>
          <w:color w:val="333333"/>
          <w:sz w:val="22"/>
          <w:szCs w:val="22"/>
        </w:rPr>
        <w:t xml:space="preserve">Complainants will not be discriminated against or treated differently as a result of raising a complaint</w:t>
      </w:r>
    </w:p>
    <w:p>
      <w:pPr>
        <w:pStyle w:val="ListParagraph"/>
        <w:numPr>
          <w:ilvl w:val="0"/>
          <w:numId w:val="2"/>
        </w:numPr>
        <w:spacing w:after="80"/>
      </w:pPr>
      <w:r>
        <w:rPr>
          <w:rFonts w:ascii="Arial" w:cs="Arial" w:eastAsia="Arial" w:hAnsi="Arial"/>
          <w:color w:val="333333"/>
          <w:sz w:val="22"/>
          <w:szCs w:val="22"/>
        </w:rPr>
        <w:t xml:space="preserve">The process will be transparent, proportionate, and completed within defined timescales</w:t>
      </w:r>
    </w:p>
    <w:p>
      <w:pPr>
        <w:pStyle w:val="ListParagraph"/>
        <w:numPr>
          <w:ilvl w:val="0"/>
          <w:numId w:val="2"/>
        </w:numPr>
        <w:spacing w:after="80"/>
      </w:pPr>
      <w:r>
        <w:rPr>
          <w:rFonts w:ascii="Arial" w:cs="Arial" w:eastAsia="Arial" w:hAnsi="Arial"/>
          <w:color w:val="333333"/>
          <w:sz w:val="22"/>
          <w:szCs w:val="22"/>
        </w:rPr>
        <w:t xml:space="preserve">Lessons learned from complaints will inform service improvement and risk management</w:t>
      </w:r>
    </w:p>
    <w:p>
      <w:pPr>
        <w:pStyle w:val="ListParagraph"/>
        <w:numPr>
          <w:ilvl w:val="0"/>
          <w:numId w:val="2"/>
        </w:numPr>
        <w:spacing w:after="80"/>
      </w:pPr>
      <w:r>
        <w:rPr>
          <w:rFonts w:ascii="Arial" w:cs="Arial" w:eastAsia="Arial" w:hAnsi="Arial"/>
          <w:color w:val="333333"/>
          <w:sz w:val="22"/>
          <w:szCs w:val="22"/>
        </w:rPr>
        <w:t xml:space="preserve">Complaints information will be handled in accordance with UK GDPR and the Data Protection Act 2018</w:t>
      </w:r>
    </w:p>
    <w:p>
      <w:pPr>
        <w:spacing w:after="0" w:before="80"/>
      </w:pPr>
    </w:p>
    <w:p>
      <w:pPr>
        <w:pStyle w:val="Heading1"/>
      </w:pPr>
      <w:r>
        <w:rPr>
          <w:rFonts w:ascii="Arial" w:cs="Arial" w:eastAsia="Arial" w:hAnsi="Arial"/>
          <w:b/>
          <w:bCs/>
          <w:color w:val="0B1D3A"/>
          <w:sz w:val="28"/>
          <w:szCs w:val="28"/>
        </w:rPr>
        <w:t xml:space="preserve">4. Complaints Procedure</w:t>
      </w:r>
    </w:p>
    <w:p>
      <w:pPr>
        <w:pStyle w:val="Heading2"/>
      </w:pPr>
      <w:r>
        <w:rPr>
          <w:rFonts w:ascii="Arial" w:cs="Arial" w:eastAsia="Arial" w:hAnsi="Arial"/>
          <w:b/>
          <w:bCs/>
          <w:color w:val="0B1D3A"/>
          <w:sz w:val="24"/>
          <w:szCs w:val="24"/>
        </w:rPr>
        <w:t xml:space="preserve">4.1 Stage 1: Local Resolution</w:t>
      </w:r>
    </w:p>
    <w:p>
      <w:pPr>
        <w:spacing w:after="120"/>
        <w:jc w:val="both"/>
      </w:pPr>
      <w:r>
        <w:rPr>
          <w:rFonts w:ascii="Arial" w:cs="Arial" w:eastAsia="Arial" w:hAnsi="Arial"/>
          <w:color w:val="333333"/>
          <w:sz w:val="22"/>
          <w:szCs w:val="22"/>
        </w:rPr>
        <w:t xml:space="preserve">[Insert Organisation Name] will aim to resolve complaints at the point of service where possible. All verbal complaints that can be resolved within 24 hours shall be documented in the complaints log. Where a formal complaint is received, the Complaints Manager shall acknowledge receipt in writing within 3 working days. The acknowledgement shall confirm the complainant’s understanding of the complaint, the expected investigation process, and the anticipated timescale for response.</w:t>
      </w:r>
    </w:p>
    <w:p>
      <w:pPr>
        <w:pStyle w:val="Heading2"/>
      </w:pPr>
      <w:r>
        <w:rPr>
          <w:rFonts w:ascii="Arial" w:cs="Arial" w:eastAsia="Arial" w:hAnsi="Arial"/>
          <w:b/>
          <w:bCs/>
          <w:color w:val="0B1D3A"/>
          <w:sz w:val="24"/>
          <w:szCs w:val="24"/>
        </w:rPr>
        <w:t xml:space="preserve">4.2 Stage 2: Formal Investigation</w:t>
      </w:r>
    </w:p>
    <w:p>
      <w:pPr>
        <w:spacing w:after="120"/>
        <w:jc w:val="both"/>
      </w:pPr>
      <w:r>
        <w:rPr>
          <w:rFonts w:ascii="Arial" w:cs="Arial" w:eastAsia="Arial" w:hAnsi="Arial"/>
          <w:color w:val="333333"/>
          <w:sz w:val="22"/>
          <w:szCs w:val="22"/>
        </w:rPr>
        <w:t xml:space="preserve">The Complaints Manager shall investigate the complaint thoroughly, gathering evidence from staff, clinical records, and any other relevant sources. A written response shall be provided within 20 working days of acknowledgement. Where the investigation cannot be completed within this timescale, the complainant shall be notified in writing with a revised date. The response shall include a summary of findings, an apology where appropriate (in accordance with the Compensation Act 2006, Section 2), and any actions taken or recommended.</w:t>
      </w:r>
    </w:p>
    <w:p>
      <w:pPr>
        <w:pStyle w:val="Heading2"/>
      </w:pPr>
      <w:r>
        <w:rPr>
          <w:rFonts w:ascii="Arial" w:cs="Arial" w:eastAsia="Arial" w:hAnsi="Arial"/>
          <w:b/>
          <w:bCs/>
          <w:color w:val="0B1D3A"/>
          <w:sz w:val="24"/>
          <w:szCs w:val="24"/>
        </w:rPr>
        <w:t xml:space="preserve">4.3 Stage 3: Escalation</w:t>
      </w:r>
    </w:p>
    <w:p>
      <w:pPr>
        <w:spacing w:after="120"/>
        <w:jc w:val="both"/>
      </w:pPr>
      <w:r>
        <w:rPr>
          <w:rFonts w:ascii="Arial" w:cs="Arial" w:eastAsia="Arial" w:hAnsi="Arial"/>
          <w:color w:val="333333"/>
          <w:sz w:val="22"/>
          <w:szCs w:val="22"/>
        </w:rPr>
        <w:t xml:space="preserve">If the complainant remains dissatisfied following the formal response, they shall be advised of their right to escalate the matter to the Parliamentary and Health Service Ombudsman (PHSO) for NHS-funded services, or to the Independent Sector Complaints Adjudication Service (ISCAS) for private healthcare. The CQC may also be contacted at any stage, although CQC does not investigate individual complaints.</w:t>
      </w:r>
    </w:p>
    <w:p>
      <w:pPr>
        <w:pStyle w:val="Heading1"/>
      </w:pPr>
      <w:r>
        <w:rPr>
          <w:rFonts w:ascii="Arial" w:cs="Arial" w:eastAsia="Arial" w:hAnsi="Arial"/>
          <w:b/>
          <w:bCs/>
          <w:color w:val="0B1D3A"/>
          <w:sz w:val="28"/>
          <w:szCs w:val="28"/>
        </w:rPr>
        <w:t xml:space="preserve">5. Duty of Candour</w:t>
      </w:r>
    </w:p>
    <w:p>
      <w:pPr>
        <w:spacing w:after="120"/>
        <w:jc w:val="both"/>
      </w:pPr>
      <w:r>
        <w:rPr>
          <w:rFonts w:ascii="Arial" w:cs="Arial" w:eastAsia="Arial" w:hAnsi="Arial"/>
          <w:color w:val="333333"/>
          <w:sz w:val="22"/>
          <w:szCs w:val="22"/>
        </w:rPr>
        <w:t xml:space="preserve">[Insert Organisation Name] complies with the statutory Duty of Candour under Regulation 20 of the Health and Social Care Act 2008 (Regulated Activities) Regulations 2014. Where a notifiable safety incident has occurred, the clinic shall inform the patient (or their representative) in person, provide a written account of the incident, offer an apology, and give reasonable support to the affected person.</w:t>
      </w:r>
    </w:p>
    <w:p>
      <w:pPr>
        <w:pStyle w:val="Heading1"/>
      </w:pPr>
      <w:r>
        <w:rPr>
          <w:rFonts w:ascii="Arial" w:cs="Arial" w:eastAsia="Arial" w:hAnsi="Arial"/>
          <w:b/>
          <w:bCs/>
          <w:color w:val="0B1D3A"/>
          <w:sz w:val="28"/>
          <w:szCs w:val="28"/>
        </w:rPr>
        <w:t xml:space="preserve">6. Recording, Reporting, and Governance</w:t>
      </w:r>
    </w:p>
    <w:p>
      <w:pPr>
        <w:spacing w:after="120"/>
        <w:jc w:val="both"/>
      </w:pPr>
      <w:r>
        <w:rPr>
          <w:rFonts w:ascii="Arial" w:cs="Arial" w:eastAsia="Arial" w:hAnsi="Arial"/>
          <w:color w:val="333333"/>
          <w:sz w:val="22"/>
          <w:szCs w:val="22"/>
        </w:rPr>
        <w:t xml:space="preserve">All complaints shall be recorded on the complaints register with a unique reference number. A quarterly complaints report shall be presented to the clinic’s governance meeting, analysing trends, themes, response times, and outcomes. Annual complaint statistics shall be included in the clinic’s quality report and made available to CQC on request.</w:t>
      </w:r>
    </w:p>
    <w:p>
      <w:pPr>
        <w:pStyle w:val="Heading1"/>
      </w:pPr>
      <w:r>
        <w:rPr>
          <w:rFonts w:ascii="Arial" w:cs="Arial" w:eastAsia="Arial" w:hAnsi="Arial"/>
          <w:b/>
          <w:bCs/>
          <w:color w:val="0B1D3A"/>
          <w:sz w:val="28"/>
          <w:szCs w:val="28"/>
        </w:rPr>
        <w:t xml:space="preserve">7. Training</w:t>
      </w:r>
    </w:p>
    <w:p>
      <w:pPr>
        <w:spacing w:after="120"/>
        <w:jc w:val="both"/>
      </w:pPr>
      <w:r>
        <w:rPr>
          <w:rFonts w:ascii="Arial" w:cs="Arial" w:eastAsia="Arial" w:hAnsi="Arial"/>
          <w:color w:val="333333"/>
          <w:sz w:val="22"/>
          <w:szCs w:val="22"/>
        </w:rPr>
        <w:t xml:space="preserve">All patient-facing staff shall receive complaints handling awareness training at induction and as part of annual refresher training. The Complaints Manager and senior staff shall receive advanced complaints investigation and resolution training.</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Requirement to operate an accessible and effective complaints system</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20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Duty of Candour following notifiable safety incidents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Local Authority Social Services and National Health Service Complaints (England) Regulations 2009</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Framework for handling NHS and social care complaints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Compensation Act 2006 (Section 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Apology does not constitute admission of liability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Data Protection Act 2018 / UK GDPR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Handling of personal data within complaints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Equality Act 2010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Accessible complaints process for all patients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NHS Constitution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Right to have complaints dealt with efficiently and properly investigated</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BS-PHC-CH-004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Complaints Handling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2026-05-15T09:14:27.842Z</dcterms:created>
  <dcterms:modified xsi:type="dcterms:W3CDTF">2026-05-15T09:14:27.842Z</dcterms:modified>
</cp:coreProperties>
</file>

<file path=docProps/custom.xml><?xml version="1.0" encoding="utf-8"?>
<Properties xmlns="http://schemas.openxmlformats.org/officeDocument/2006/custom-properties" xmlns:vt="http://schemas.openxmlformats.org/officeDocument/2006/docPropsVTypes"/>
</file>