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100"/>
        <w:jc w:val="center"/>
      </w:pPr>
      <w:r>
        <w:rPr>
          <w:rFonts w:ascii="Arial" w:cs="Arial" w:eastAsia="Arial" w:hAnsi="Arial"/>
          <w:b/>
          <w:bCs/>
          <w:color w:val="0B1D3A"/>
          <w:sz w:val="40"/>
          <w:szCs w:val="40"/>
        </w:rPr>
        <w:t xml:space="preserve">Consent to Treatment Policy</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BS-PHC-CT-005</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Consent to Treatment Policy</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BS-PHC-CT-005</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Author:</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Organisation Name]</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policy establishes the framework by which [Insert Organisation Name] obtains, records, and manages valid consent from patients prior to examination, treatment, or care. It ensures compliance with the Health and Social Care Act 2008 (Regulated Activities) Regulations 2014 (Regulation 11 – Need for Consent), the Mental Capacity Act 2005, common law principles of consent, and professional standards set by the General Medical Council (GMC) and Nursing and Midwifery Council (NMC).</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policy applies to all clinical staff who examine, treat, or provide care to patients within [Insert Organisation Name]. It covers all forms of consent including verbal, written, and implied consent for clinical examinations, diagnostic procedures, therapeutic interventions, minor and major surgical procedures, and remote consultations.</w:t>
      </w:r>
    </w:p>
    <w:p>
      <w:pPr>
        <w:pStyle w:val="Heading1"/>
      </w:pPr>
      <w:r>
        <w:rPr>
          <w:rFonts w:ascii="Arial" w:cs="Arial" w:eastAsia="Arial" w:hAnsi="Arial"/>
          <w:b/>
          <w:bCs/>
          <w:color w:val="0B1D3A"/>
          <w:sz w:val="28"/>
          <w:szCs w:val="28"/>
        </w:rPr>
        <w:t xml:space="preserve">3. Principles of Valid Consent</w:t>
      </w:r>
    </w:p>
    <w:p>
      <w:pPr>
        <w:spacing w:after="120"/>
        <w:jc w:val="both"/>
      </w:pPr>
      <w:r>
        <w:rPr>
          <w:rFonts w:ascii="Arial" w:cs="Arial" w:eastAsia="Arial" w:hAnsi="Arial"/>
          <w:color w:val="333333"/>
          <w:sz w:val="22"/>
          <w:szCs w:val="22"/>
        </w:rPr>
        <w:t xml:space="preserve">For consent to be valid, the following conditions must be met:</w:t>
      </w:r>
    </w:p>
    <w:p>
      <w:pPr>
        <w:pStyle w:val="ListParagraph"/>
        <w:numPr>
          <w:ilvl w:val="0"/>
          <w:numId w:val="2"/>
        </w:numPr>
        <w:spacing w:after="80"/>
      </w:pPr>
      <w:r>
        <w:rPr>
          <w:rFonts w:ascii="Arial" w:cs="Arial" w:eastAsia="Arial" w:hAnsi="Arial"/>
          <w:color w:val="333333"/>
          <w:sz w:val="22"/>
          <w:szCs w:val="22"/>
        </w:rPr>
        <w:t xml:space="preserve">The patient must have capacity to make the decision (assessed in accordance with the Mental Capacity Act 2005)</w:t>
      </w:r>
    </w:p>
    <w:p>
      <w:pPr>
        <w:pStyle w:val="ListParagraph"/>
        <w:numPr>
          <w:ilvl w:val="0"/>
          <w:numId w:val="2"/>
        </w:numPr>
        <w:spacing w:after="80"/>
      </w:pPr>
      <w:r>
        <w:rPr>
          <w:rFonts w:ascii="Arial" w:cs="Arial" w:eastAsia="Arial" w:hAnsi="Arial"/>
          <w:color w:val="333333"/>
          <w:sz w:val="22"/>
          <w:szCs w:val="22"/>
        </w:rPr>
        <w:t xml:space="preserve">Consent must be given voluntarily and free from undue influence or coercion</w:t>
      </w:r>
    </w:p>
    <w:p>
      <w:pPr>
        <w:pStyle w:val="ListParagraph"/>
        <w:numPr>
          <w:ilvl w:val="0"/>
          <w:numId w:val="2"/>
        </w:numPr>
        <w:spacing w:after="80"/>
      </w:pPr>
      <w:r>
        <w:rPr>
          <w:rFonts w:ascii="Arial" w:cs="Arial" w:eastAsia="Arial" w:hAnsi="Arial"/>
          <w:color w:val="333333"/>
          <w:sz w:val="22"/>
          <w:szCs w:val="22"/>
        </w:rPr>
        <w:t xml:space="preserve">The patient must have been provided with sufficient information to make an informed decision, including the nature of the proposed treatment, its benefits and risks, alternative options (including no treatment), and the likely consequences</w:t>
      </w:r>
    </w:p>
    <w:p>
      <w:pPr>
        <w:pStyle w:val="ListParagraph"/>
        <w:numPr>
          <w:ilvl w:val="0"/>
          <w:numId w:val="2"/>
        </w:numPr>
        <w:spacing w:after="80"/>
      </w:pPr>
      <w:r>
        <w:rPr>
          <w:rFonts w:ascii="Arial" w:cs="Arial" w:eastAsia="Arial" w:hAnsi="Arial"/>
          <w:color w:val="333333"/>
          <w:sz w:val="22"/>
          <w:szCs w:val="22"/>
        </w:rPr>
        <w:t xml:space="preserve">Consent must be specific to the treatment or procedure being proposed</w:t>
      </w:r>
    </w:p>
    <w:p>
      <w:pPr>
        <w:pStyle w:val="ListParagraph"/>
        <w:numPr>
          <w:ilvl w:val="0"/>
          <w:numId w:val="2"/>
        </w:numPr>
        <w:spacing w:after="80"/>
      </w:pPr>
      <w:r>
        <w:rPr>
          <w:rFonts w:ascii="Arial" w:cs="Arial" w:eastAsia="Arial" w:hAnsi="Arial"/>
          <w:color w:val="333333"/>
          <w:sz w:val="22"/>
          <w:szCs w:val="22"/>
        </w:rPr>
        <w:t xml:space="preserve">Consent may be withdrawn at any time, and the patient must be informed of this right</w:t>
      </w:r>
    </w:p>
    <w:p>
      <w:pPr>
        <w:spacing w:after="0" w:before="80"/>
      </w:pPr>
    </w:p>
    <w:p>
      <w:pPr>
        <w:pStyle w:val="Heading1"/>
      </w:pPr>
      <w:r>
        <w:rPr>
          <w:rFonts w:ascii="Arial" w:cs="Arial" w:eastAsia="Arial" w:hAnsi="Arial"/>
          <w:b/>
          <w:bCs/>
          <w:color w:val="0B1D3A"/>
          <w:sz w:val="28"/>
          <w:szCs w:val="28"/>
        </w:rPr>
        <w:t xml:space="preserve">4. The Montgomery Principle</w:t>
      </w:r>
    </w:p>
    <w:p>
      <w:pPr>
        <w:spacing w:after="120"/>
        <w:jc w:val="both"/>
      </w:pPr>
      <w:r>
        <w:rPr>
          <w:rFonts w:ascii="Arial" w:cs="Arial" w:eastAsia="Arial" w:hAnsi="Arial"/>
          <w:color w:val="333333"/>
          <w:sz w:val="22"/>
          <w:szCs w:val="22"/>
        </w:rPr>
        <w:t xml:space="preserve">In accordance with the Supreme Court judgment in Montgomery v Lanarkshire Health Board [2015] UKSC 11, clinicians must take reasonable care to ensure that the patient is aware of any material risks involved in any recommended treatment, and of any reasonable alternative or variant treatments. A risk is material if, in the circumstances of the particular case, a reasonable person in the patient’s position would be likely to attach significance to the risk, or the doctor is or should reasonably be aware that the particular patient would be likely to attach significance to it.</w:t>
      </w:r>
    </w:p>
    <w:p>
      <w:pPr>
        <w:pStyle w:val="Heading1"/>
      </w:pPr>
      <w:r>
        <w:rPr>
          <w:rFonts w:ascii="Arial" w:cs="Arial" w:eastAsia="Arial" w:hAnsi="Arial"/>
          <w:b/>
          <w:bCs/>
          <w:color w:val="0B1D3A"/>
          <w:sz w:val="28"/>
          <w:szCs w:val="28"/>
        </w:rPr>
        <w:t xml:space="preserve">5. Written Consent</w:t>
      </w:r>
    </w:p>
    <w:p>
      <w:pPr>
        <w:spacing w:after="120"/>
        <w:jc w:val="both"/>
      </w:pPr>
      <w:r>
        <w:rPr>
          <w:rFonts w:ascii="Arial" w:cs="Arial" w:eastAsia="Arial" w:hAnsi="Arial"/>
          <w:color w:val="333333"/>
          <w:sz w:val="22"/>
          <w:szCs w:val="22"/>
        </w:rPr>
        <w:t xml:space="preserve">Written consent shall be obtained for all invasive procedures, procedures involving sedation or general anaesthesia, procedures carrying significant risk of complication, and any treatment where the patient may require a cooling-off period. Consent forms shall be completed in the patient’s presence, signed by the patient and the consenting clinician, and a copy retained in the patient record with a copy offered to the patient.</w:t>
      </w:r>
    </w:p>
    <w:p>
      <w:pPr>
        <w:pStyle w:val="Heading1"/>
      </w:pPr>
      <w:r>
        <w:rPr>
          <w:rFonts w:ascii="Arial" w:cs="Arial" w:eastAsia="Arial" w:hAnsi="Arial"/>
          <w:b/>
          <w:bCs/>
          <w:color w:val="0B1D3A"/>
          <w:sz w:val="28"/>
          <w:szCs w:val="28"/>
        </w:rPr>
        <w:t xml:space="preserve">6. Mental Capacity and Best Interests</w:t>
      </w:r>
    </w:p>
    <w:p>
      <w:pPr>
        <w:pStyle w:val="Heading2"/>
      </w:pPr>
      <w:r>
        <w:rPr>
          <w:rFonts w:ascii="Arial" w:cs="Arial" w:eastAsia="Arial" w:hAnsi="Arial"/>
          <w:b/>
          <w:bCs/>
          <w:color w:val="0B1D3A"/>
          <w:sz w:val="24"/>
          <w:szCs w:val="24"/>
        </w:rPr>
        <w:t xml:space="preserve">6.1 Assessing Capacity</w:t>
      </w:r>
    </w:p>
    <w:p>
      <w:pPr>
        <w:spacing w:after="120"/>
        <w:jc w:val="both"/>
      </w:pPr>
      <w:r>
        <w:rPr>
          <w:rFonts w:ascii="Arial" w:cs="Arial" w:eastAsia="Arial" w:hAnsi="Arial"/>
          <w:color w:val="333333"/>
          <w:sz w:val="22"/>
          <w:szCs w:val="22"/>
        </w:rPr>
        <w:t xml:space="preserve">In accordance with the Mental Capacity Act 2005 (Section 3), a person is unable to make a decision if they cannot understand the information relevant to the decision, retain that information, use or weigh that information as part of the decision-making process, or communicate their decision. Capacity is decision-specific and time-specific. A person must not be treated as lacking capacity simply because they make an unwise decision.</w:t>
      </w:r>
    </w:p>
    <w:p>
      <w:pPr>
        <w:pStyle w:val="Heading2"/>
      </w:pPr>
      <w:r>
        <w:rPr>
          <w:rFonts w:ascii="Arial" w:cs="Arial" w:eastAsia="Arial" w:hAnsi="Arial"/>
          <w:b/>
          <w:bCs/>
          <w:color w:val="0B1D3A"/>
          <w:sz w:val="24"/>
          <w:szCs w:val="24"/>
        </w:rPr>
        <w:t xml:space="preserve">6.2 Best Interests Decisions</w:t>
      </w:r>
    </w:p>
    <w:p>
      <w:pPr>
        <w:spacing w:after="120"/>
        <w:jc w:val="both"/>
      </w:pPr>
      <w:r>
        <w:rPr>
          <w:rFonts w:ascii="Arial" w:cs="Arial" w:eastAsia="Arial" w:hAnsi="Arial"/>
          <w:color w:val="333333"/>
          <w:sz w:val="22"/>
          <w:szCs w:val="22"/>
        </w:rPr>
        <w:t xml:space="preserve">Where a patient lacks capacity, decisions shall be made in their best interests in accordance with Section 4 of the Mental Capacity Act 2005. This involves considering the patient’s past and present wishes, beliefs, and values; consulting with family members, carers, and any donee of a Lasting Power of Attorney (Health and Welfare) or court-appointed deputy; and ensuring the least restrictive option is selected.</w:t>
      </w:r>
    </w:p>
    <w:p>
      <w:pPr>
        <w:pStyle w:val="Heading1"/>
      </w:pPr>
      <w:r>
        <w:rPr>
          <w:rFonts w:ascii="Arial" w:cs="Arial" w:eastAsia="Arial" w:hAnsi="Arial"/>
          <w:b/>
          <w:bCs/>
          <w:color w:val="0B1D3A"/>
          <w:sz w:val="28"/>
          <w:szCs w:val="28"/>
        </w:rPr>
        <w:t xml:space="preserve">7. Children and Young People</w:t>
      </w:r>
    </w:p>
    <w:p>
      <w:pPr>
        <w:spacing w:after="120"/>
        <w:jc w:val="both"/>
      </w:pPr>
      <w:r>
        <w:rPr>
          <w:rFonts w:ascii="Arial" w:cs="Arial" w:eastAsia="Arial" w:hAnsi="Arial"/>
          <w:color w:val="333333"/>
          <w:sz w:val="22"/>
          <w:szCs w:val="22"/>
        </w:rPr>
        <w:t xml:space="preserve">Where [Insert Organisation Name] treats patients under 18, consent shall be obtained in accordance with the Family Law Reform Act 1969 (for 16–17 year olds) and the principles established in Gillick v West Norfolk and Wisbech Area Health Authority [1986] AC 112 (for under-16s). Parental consent shall be obtained where the young person is not Gillick competent.</w:t>
      </w:r>
    </w:p>
    <w:p>
      <w:pPr>
        <w:pStyle w:val="Heading1"/>
      </w:pPr>
      <w:r>
        <w:rPr>
          <w:rFonts w:ascii="Arial" w:cs="Arial" w:eastAsia="Arial" w:hAnsi="Arial"/>
          <w:b/>
          <w:bCs/>
          <w:color w:val="0B1D3A"/>
          <w:sz w:val="28"/>
          <w:szCs w:val="28"/>
        </w:rPr>
        <w:t xml:space="preserve">8. Documentation and Record Keeping</w:t>
      </w:r>
    </w:p>
    <w:p>
      <w:pPr>
        <w:spacing w:after="120"/>
        <w:jc w:val="both"/>
      </w:pPr>
      <w:r>
        <w:rPr>
          <w:rFonts w:ascii="Arial" w:cs="Arial" w:eastAsia="Arial" w:hAnsi="Arial"/>
          <w:color w:val="333333"/>
          <w:sz w:val="22"/>
          <w:szCs w:val="22"/>
        </w:rPr>
        <w:t xml:space="preserve">The following shall be documented in the patient’s clinical record:</w:t>
      </w:r>
    </w:p>
    <w:p>
      <w:pPr>
        <w:pStyle w:val="ListParagraph"/>
        <w:numPr>
          <w:ilvl w:val="0"/>
          <w:numId w:val="2"/>
        </w:numPr>
        <w:spacing w:after="80"/>
      </w:pPr>
      <w:r>
        <w:rPr>
          <w:rFonts w:ascii="Arial" w:cs="Arial" w:eastAsia="Arial" w:hAnsi="Arial"/>
          <w:color w:val="333333"/>
          <w:sz w:val="22"/>
          <w:szCs w:val="22"/>
        </w:rPr>
        <w:t xml:space="preserve">The information provided to the patient, including risks, benefits, and alternatives discussed</w:t>
      </w:r>
    </w:p>
    <w:p>
      <w:pPr>
        <w:pStyle w:val="ListParagraph"/>
        <w:numPr>
          <w:ilvl w:val="0"/>
          <w:numId w:val="2"/>
        </w:numPr>
        <w:spacing w:after="80"/>
      </w:pPr>
      <w:r>
        <w:rPr>
          <w:rFonts w:ascii="Arial" w:cs="Arial" w:eastAsia="Arial" w:hAnsi="Arial"/>
          <w:color w:val="333333"/>
          <w:sz w:val="22"/>
          <w:szCs w:val="22"/>
        </w:rPr>
        <w:t xml:space="preserve">Any questions raised by the patient and the responses given</w:t>
      </w:r>
    </w:p>
    <w:p>
      <w:pPr>
        <w:pStyle w:val="ListParagraph"/>
        <w:numPr>
          <w:ilvl w:val="0"/>
          <w:numId w:val="2"/>
        </w:numPr>
        <w:spacing w:after="80"/>
      </w:pPr>
      <w:r>
        <w:rPr>
          <w:rFonts w:ascii="Arial" w:cs="Arial" w:eastAsia="Arial" w:hAnsi="Arial"/>
          <w:color w:val="333333"/>
          <w:sz w:val="22"/>
          <w:szCs w:val="22"/>
        </w:rPr>
        <w:t xml:space="preserve">The patient’s decision and whether consent was given or refused</w:t>
      </w:r>
    </w:p>
    <w:p>
      <w:pPr>
        <w:pStyle w:val="ListParagraph"/>
        <w:numPr>
          <w:ilvl w:val="0"/>
          <w:numId w:val="2"/>
        </w:numPr>
        <w:spacing w:after="80"/>
      </w:pPr>
      <w:r>
        <w:rPr>
          <w:rFonts w:ascii="Arial" w:cs="Arial" w:eastAsia="Arial" w:hAnsi="Arial"/>
          <w:color w:val="333333"/>
          <w:sz w:val="22"/>
          <w:szCs w:val="22"/>
        </w:rPr>
        <w:t xml:space="preserve">The completed consent form (where applicable), signed and dated</w:t>
      </w:r>
    </w:p>
    <w:p>
      <w:pPr>
        <w:pStyle w:val="ListParagraph"/>
        <w:numPr>
          <w:ilvl w:val="0"/>
          <w:numId w:val="2"/>
        </w:numPr>
        <w:spacing w:after="80"/>
      </w:pPr>
      <w:r>
        <w:rPr>
          <w:rFonts w:ascii="Arial" w:cs="Arial" w:eastAsia="Arial" w:hAnsi="Arial"/>
          <w:color w:val="333333"/>
          <w:sz w:val="22"/>
          <w:szCs w:val="22"/>
        </w:rPr>
        <w:t xml:space="preserve">Any capacity assessment conducted and its outcome</w:t>
      </w:r>
    </w:p>
    <w:p>
      <w:pPr>
        <w:spacing w:after="0" w:before="8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Relevance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11</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Requirement to obtain consent before care or treatment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Mental Capacity Act 2005</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Framework for assessing capacity and making best interests decisions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Mental Capacity Act 2005 – Code of Practice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Practical guidance on applying the Act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Montgomery v Lanarkshire Health Board [2015] UKSC 11</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Duty to inform patients of material risks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Family Law Reform Act 1969</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Consent by 16–17 year olds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Gillick v West Norfolk [1986] AC 112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Competence of under-16s to consent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GMC Guidance: Decision Making and Consent (2020)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Professional standards for medical practitioners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NMC Code: Professional Standards of Practice and Behaviour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Nursing and midwifery consent standards</w:t>
            </w:r>
          </w:p>
        </w:tc>
      </w:tr>
    </w:tbl>
    <w:p>
      <w:pPr>
        <w:spacing w:after="0" w:before="200"/>
      </w:pPr>
    </w:p>
    <w:p>
      <w:pPr>
        <w:pStyle w:val="Heading1"/>
      </w:pPr>
      <w:r>
        <w:rPr>
          <w:rFonts w:ascii="Arial" w:cs="Arial" w:eastAsia="Arial" w:hAnsi="Arial"/>
          <w:b/>
          <w:bCs/>
          <w:color w:val="0B1D3A"/>
          <w:sz w:val="28"/>
          <w:szCs w:val="28"/>
        </w:rPr>
        <w:t xml:space="preserve">Document Approval and Sign-Off</w:t>
      </w:r>
    </w:p>
    <w:p>
      <w:pPr>
        <w:spacing w:after="120"/>
        <w:jc w:val="both"/>
      </w:pPr>
      <w:r>
        <w:rPr>
          <w:rFonts w:ascii="Arial" w:cs="Arial" w:eastAsia="Arial" w:hAnsi="Arial"/>
          <w:color w:val="333333"/>
          <w:sz w:val="22"/>
          <w:szCs w:val="22"/>
        </w:rPr>
        <w:t xml:space="preserve">This policy has been reviewed and approved by the following authorised personnel. By signing below, each confirms they have read, understood, and agree to uphold the requirements set out in this document.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Compliance Officer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template is provided by Barker Scott Ltd as a general compliance resource for CQC-regulated private health clinics. It must be customised to reflect the specific operations, services, and circumstances of [Insert Organisation Name]. Barker Scott Ltd accepts no liability for regulatory outcomes arising from use of this template. Independent legal and clinical advice should be sought as appropriate.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spacing w:before="0"/>
    </w:pPr>
    <w:r>
      <w:rPr>
        <w:rFonts w:ascii="Arial" w:cs="Arial" w:eastAsia="Arial" w:hAnsi="Arial"/>
        <w:color w:val="999999"/>
        <w:sz w:val="16"/>
        <w:szCs w:val="16"/>
      </w:rPr>
      <w:t xml:space="preserve">Ref: BS-PHC-CT-005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Consent to Treatment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2026-05-15T09:14:27.908Z</dcterms:created>
  <dcterms:modified xsi:type="dcterms:W3CDTF">2026-05-15T09:14:27.908Z</dcterms:modified>
</cp:coreProperties>
</file>

<file path=docProps/custom.xml><?xml version="1.0" encoding="utf-8"?>
<Properties xmlns="http://schemas.openxmlformats.org/officeDocument/2006/custom-properties" xmlns:vt="http://schemas.openxmlformats.org/officeDocument/2006/docPropsVTypes"/>
</file>