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100"/>
        <w:jc w:val="center"/>
      </w:pPr>
      <w:r>
        <w:rPr>
          <w:rFonts w:ascii="Arial" w:cs="Arial" w:eastAsia="Arial" w:hAnsi="Arial"/>
          <w:b/>
          <w:bCs/>
          <w:color w:val="0B1D3A"/>
          <w:sz w:val="40"/>
          <w:szCs w:val="40"/>
        </w:rPr>
        <w:t xml:space="preserve">Data Protection and Confidentiality Policy</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BS-PHC-DP-008</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Data Protection and Confidentiality Policy</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BS-PHC-DP-008</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Author:</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Organisation Name]</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policy sets out how [Insert Organisation Name] processes, stores, and protects personal data and special category data in compliance with the UK General Data Protection Regulation (UK GDPR), the Data Protection Act 2018, the common law duty of confidentiality, and the Caldicott Principles. It also ensures compliance with the Health and Social Care Act 2008 (Regulated Activities) Regulations 2014 (Regulation 17 – Good Governance).</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policy applies to all personal data processed by [Insert Organisation Name], including patient health records, employee records, financial data, CCTV footage, and any other data relating to identified or identifiable individuals. It applies to all staff, agency workers, volunteers, and contractors.</w:t>
      </w:r>
    </w:p>
    <w:p>
      <w:pPr>
        <w:pStyle w:val="Heading1"/>
      </w:pPr>
      <w:r>
        <w:rPr>
          <w:rFonts w:ascii="Arial" w:cs="Arial" w:eastAsia="Arial" w:hAnsi="Arial"/>
          <w:b/>
          <w:bCs/>
          <w:color w:val="0B1D3A"/>
          <w:sz w:val="28"/>
          <w:szCs w:val="28"/>
        </w:rPr>
        <w:t xml:space="preserve">3. Data Protection Principles</w:t>
      </w:r>
    </w:p>
    <w:p>
      <w:pPr>
        <w:spacing w:after="120"/>
        <w:jc w:val="both"/>
      </w:pPr>
      <w:r>
        <w:rPr>
          <w:rFonts w:ascii="Arial" w:cs="Arial" w:eastAsia="Arial" w:hAnsi="Arial"/>
          <w:color w:val="333333"/>
          <w:sz w:val="22"/>
          <w:szCs w:val="22"/>
        </w:rPr>
        <w:t xml:space="preserve">[Insert Organisation Name] shall ensure all personal data is processed in compliance with the seven principles of UK GDPR (Article 5):</w:t>
      </w:r>
    </w:p>
    <w:p>
      <w:pPr>
        <w:pStyle w:val="ListParagraph"/>
        <w:numPr>
          <w:ilvl w:val="0"/>
          <w:numId w:val="2"/>
        </w:numPr>
        <w:spacing w:after="80"/>
      </w:pPr>
      <w:r>
        <w:rPr>
          <w:rFonts w:ascii="Arial" w:cs="Arial" w:eastAsia="Arial" w:hAnsi="Arial"/>
          <w:color w:val="333333"/>
          <w:sz w:val="22"/>
          <w:szCs w:val="22"/>
        </w:rPr>
        <w:t xml:space="preserve">Lawfulness, fairness, and transparency – personal data shall be processed lawfully and transparently</w:t>
      </w:r>
    </w:p>
    <w:p>
      <w:pPr>
        <w:pStyle w:val="ListParagraph"/>
        <w:numPr>
          <w:ilvl w:val="0"/>
          <w:numId w:val="2"/>
        </w:numPr>
        <w:spacing w:after="80"/>
      </w:pPr>
      <w:r>
        <w:rPr>
          <w:rFonts w:ascii="Arial" w:cs="Arial" w:eastAsia="Arial" w:hAnsi="Arial"/>
          <w:color w:val="333333"/>
          <w:sz w:val="22"/>
          <w:szCs w:val="22"/>
        </w:rPr>
        <w:t xml:space="preserve">Purpose limitation – data shall be collected for specified, explicit, and legitimate purposes</w:t>
      </w:r>
    </w:p>
    <w:p>
      <w:pPr>
        <w:pStyle w:val="ListParagraph"/>
        <w:numPr>
          <w:ilvl w:val="0"/>
          <w:numId w:val="2"/>
        </w:numPr>
        <w:spacing w:after="80"/>
      </w:pPr>
      <w:r>
        <w:rPr>
          <w:rFonts w:ascii="Arial" w:cs="Arial" w:eastAsia="Arial" w:hAnsi="Arial"/>
          <w:color w:val="333333"/>
          <w:sz w:val="22"/>
          <w:szCs w:val="22"/>
        </w:rPr>
        <w:t xml:space="preserve">Data minimisation – only data that is adequate, relevant, and necessary shall be collected</w:t>
      </w:r>
    </w:p>
    <w:p>
      <w:pPr>
        <w:pStyle w:val="ListParagraph"/>
        <w:numPr>
          <w:ilvl w:val="0"/>
          <w:numId w:val="2"/>
        </w:numPr>
        <w:spacing w:after="80"/>
      </w:pPr>
      <w:r>
        <w:rPr>
          <w:rFonts w:ascii="Arial" w:cs="Arial" w:eastAsia="Arial" w:hAnsi="Arial"/>
          <w:color w:val="333333"/>
          <w:sz w:val="22"/>
          <w:szCs w:val="22"/>
        </w:rPr>
        <w:t xml:space="preserve">Accuracy – personal data shall be kept accurate and up to date</w:t>
      </w:r>
    </w:p>
    <w:p>
      <w:pPr>
        <w:pStyle w:val="ListParagraph"/>
        <w:numPr>
          <w:ilvl w:val="0"/>
          <w:numId w:val="2"/>
        </w:numPr>
        <w:spacing w:after="80"/>
      </w:pPr>
      <w:r>
        <w:rPr>
          <w:rFonts w:ascii="Arial" w:cs="Arial" w:eastAsia="Arial" w:hAnsi="Arial"/>
          <w:color w:val="333333"/>
          <w:sz w:val="22"/>
          <w:szCs w:val="22"/>
        </w:rPr>
        <w:t xml:space="preserve">Storage limitation – data shall be retained only for as long as necessary for the stated purpose</w:t>
      </w:r>
    </w:p>
    <w:p>
      <w:pPr>
        <w:pStyle w:val="ListParagraph"/>
        <w:numPr>
          <w:ilvl w:val="0"/>
          <w:numId w:val="2"/>
        </w:numPr>
        <w:spacing w:after="80"/>
      </w:pPr>
      <w:r>
        <w:rPr>
          <w:rFonts w:ascii="Arial" w:cs="Arial" w:eastAsia="Arial" w:hAnsi="Arial"/>
          <w:color w:val="333333"/>
          <w:sz w:val="22"/>
          <w:szCs w:val="22"/>
        </w:rPr>
        <w:t xml:space="preserve">Integrity and confidentiality – appropriate security measures shall protect against unauthorised access, loss, or destruction</w:t>
      </w:r>
    </w:p>
    <w:p>
      <w:pPr>
        <w:pStyle w:val="ListParagraph"/>
        <w:numPr>
          <w:ilvl w:val="0"/>
          <w:numId w:val="2"/>
        </w:numPr>
        <w:spacing w:after="80"/>
      </w:pPr>
      <w:r>
        <w:rPr>
          <w:rFonts w:ascii="Arial" w:cs="Arial" w:eastAsia="Arial" w:hAnsi="Arial"/>
          <w:color w:val="333333"/>
          <w:sz w:val="22"/>
          <w:szCs w:val="22"/>
        </w:rPr>
        <w:t xml:space="preserve">Accountability – [Insert Organisation Name] shall demonstrate compliance with these principles</w:t>
      </w:r>
    </w:p>
    <w:p>
      <w:pPr>
        <w:spacing w:after="0" w:before="80"/>
      </w:pPr>
    </w:p>
    <w:p>
      <w:pPr>
        <w:pStyle w:val="Heading1"/>
      </w:pPr>
      <w:r>
        <w:rPr>
          <w:rFonts w:ascii="Arial" w:cs="Arial" w:eastAsia="Arial" w:hAnsi="Arial"/>
          <w:b/>
          <w:bCs/>
          <w:color w:val="0B1D3A"/>
          <w:sz w:val="28"/>
          <w:szCs w:val="28"/>
        </w:rPr>
        <w:t xml:space="preserve">4. Lawful Basis for Processing</w:t>
      </w:r>
    </w:p>
    <w:p>
      <w:pPr>
        <w:spacing w:after="120"/>
        <w:jc w:val="both"/>
      </w:pPr>
      <w:r>
        <w:rPr>
          <w:rFonts w:ascii="Arial" w:cs="Arial" w:eastAsia="Arial" w:hAnsi="Arial"/>
          <w:color w:val="333333"/>
          <w:sz w:val="22"/>
          <w:szCs w:val="22"/>
        </w:rPr>
        <w:t xml:space="preserve">The clinic shall identify and document the lawful basis for each processing activity. For patient health data (special category data), processing shall be based on Article 9(2)(h) UK GDPR (health or social care purposes) supported by Schedule 1, Part 1, Paragraph 2 of the Data Protection Act 2018. Explicit consent (Article 9(2)(a)) may be used as an additional or alternative basis where appropriate.</w:t>
      </w:r>
    </w:p>
    <w:p>
      <w:pPr>
        <w:pStyle w:val="Heading1"/>
      </w:pPr>
      <w:r>
        <w:rPr>
          <w:rFonts w:ascii="Arial" w:cs="Arial" w:eastAsia="Arial" w:hAnsi="Arial"/>
          <w:b/>
          <w:bCs/>
          <w:color w:val="0B1D3A"/>
          <w:sz w:val="28"/>
          <w:szCs w:val="28"/>
        </w:rPr>
        <w:t xml:space="preserve">5. Caldicott Principles</w:t>
      </w:r>
    </w:p>
    <w:p>
      <w:pPr>
        <w:spacing w:after="120"/>
        <w:jc w:val="both"/>
      </w:pPr>
      <w:r>
        <w:rPr>
          <w:rFonts w:ascii="Arial" w:cs="Arial" w:eastAsia="Arial" w:hAnsi="Arial"/>
          <w:color w:val="333333"/>
          <w:sz w:val="22"/>
          <w:szCs w:val="22"/>
        </w:rPr>
        <w:t xml:space="preserve">The processing of patient-identifiable information shall comply with the eight Caldicott Principles:</w:t>
      </w:r>
    </w:p>
    <w:p>
      <w:pPr>
        <w:pStyle w:val="ListParagraph"/>
        <w:numPr>
          <w:ilvl w:val="0"/>
          <w:numId w:val="2"/>
        </w:numPr>
        <w:spacing w:after="80"/>
      </w:pPr>
      <w:r>
        <w:rPr>
          <w:rFonts w:ascii="Arial" w:cs="Arial" w:eastAsia="Arial" w:hAnsi="Arial"/>
          <w:color w:val="333333"/>
          <w:sz w:val="22"/>
          <w:szCs w:val="22"/>
        </w:rPr>
        <w:t xml:space="preserve">Justify the purpose(s) for using confidential information</w:t>
      </w:r>
    </w:p>
    <w:p>
      <w:pPr>
        <w:pStyle w:val="ListParagraph"/>
        <w:numPr>
          <w:ilvl w:val="0"/>
          <w:numId w:val="2"/>
        </w:numPr>
        <w:spacing w:after="80"/>
      </w:pPr>
      <w:r>
        <w:rPr>
          <w:rFonts w:ascii="Arial" w:cs="Arial" w:eastAsia="Arial" w:hAnsi="Arial"/>
          <w:color w:val="333333"/>
          <w:sz w:val="22"/>
          <w:szCs w:val="22"/>
        </w:rPr>
        <w:t xml:space="preserve">Use confidential information only when it is necessary</w:t>
      </w:r>
    </w:p>
    <w:p>
      <w:pPr>
        <w:pStyle w:val="ListParagraph"/>
        <w:numPr>
          <w:ilvl w:val="0"/>
          <w:numId w:val="2"/>
        </w:numPr>
        <w:spacing w:after="80"/>
      </w:pPr>
      <w:r>
        <w:rPr>
          <w:rFonts w:ascii="Arial" w:cs="Arial" w:eastAsia="Arial" w:hAnsi="Arial"/>
          <w:color w:val="333333"/>
          <w:sz w:val="22"/>
          <w:szCs w:val="22"/>
        </w:rPr>
        <w:t xml:space="preserve">Use the minimum necessary confidential information</w:t>
      </w:r>
    </w:p>
    <w:p>
      <w:pPr>
        <w:pStyle w:val="ListParagraph"/>
        <w:numPr>
          <w:ilvl w:val="0"/>
          <w:numId w:val="2"/>
        </w:numPr>
        <w:spacing w:after="80"/>
      </w:pPr>
      <w:r>
        <w:rPr>
          <w:rFonts w:ascii="Arial" w:cs="Arial" w:eastAsia="Arial" w:hAnsi="Arial"/>
          <w:color w:val="333333"/>
          <w:sz w:val="22"/>
          <w:szCs w:val="22"/>
        </w:rPr>
        <w:t xml:space="preserve">Access to confidential information should be on a strict need-to-know basis</w:t>
      </w:r>
    </w:p>
    <w:p>
      <w:pPr>
        <w:pStyle w:val="ListParagraph"/>
        <w:numPr>
          <w:ilvl w:val="0"/>
          <w:numId w:val="2"/>
        </w:numPr>
        <w:spacing w:after="80"/>
      </w:pPr>
      <w:r>
        <w:rPr>
          <w:rFonts w:ascii="Arial" w:cs="Arial" w:eastAsia="Arial" w:hAnsi="Arial"/>
          <w:color w:val="333333"/>
          <w:sz w:val="22"/>
          <w:szCs w:val="22"/>
        </w:rPr>
        <w:t xml:space="preserve">Everyone with access to confidential information should be aware of their responsibilities</w:t>
      </w:r>
    </w:p>
    <w:p>
      <w:pPr>
        <w:pStyle w:val="ListParagraph"/>
        <w:numPr>
          <w:ilvl w:val="0"/>
          <w:numId w:val="2"/>
        </w:numPr>
        <w:spacing w:after="80"/>
      </w:pPr>
      <w:r>
        <w:rPr>
          <w:rFonts w:ascii="Arial" w:cs="Arial" w:eastAsia="Arial" w:hAnsi="Arial"/>
          <w:color w:val="333333"/>
          <w:sz w:val="22"/>
          <w:szCs w:val="22"/>
        </w:rPr>
        <w:t xml:space="preserve">Comply with the law</w:t>
      </w:r>
    </w:p>
    <w:p>
      <w:pPr>
        <w:pStyle w:val="ListParagraph"/>
        <w:numPr>
          <w:ilvl w:val="0"/>
          <w:numId w:val="2"/>
        </w:numPr>
        <w:spacing w:after="80"/>
      </w:pPr>
      <w:r>
        <w:rPr>
          <w:rFonts w:ascii="Arial" w:cs="Arial" w:eastAsia="Arial" w:hAnsi="Arial"/>
          <w:color w:val="333333"/>
          <w:sz w:val="22"/>
          <w:szCs w:val="22"/>
        </w:rPr>
        <w:t xml:space="preserve">The duty to share information is as important as the duty to protect patient confidentiality</w:t>
      </w:r>
    </w:p>
    <w:p>
      <w:pPr>
        <w:pStyle w:val="ListParagraph"/>
        <w:numPr>
          <w:ilvl w:val="0"/>
          <w:numId w:val="2"/>
        </w:numPr>
        <w:spacing w:after="80"/>
      </w:pPr>
      <w:r>
        <w:rPr>
          <w:rFonts w:ascii="Arial" w:cs="Arial" w:eastAsia="Arial" w:hAnsi="Arial"/>
          <w:color w:val="333333"/>
          <w:sz w:val="22"/>
          <w:szCs w:val="22"/>
        </w:rPr>
        <w:t xml:space="preserve">Inform patients and service users about how their confidential information is used</w:t>
      </w:r>
    </w:p>
    <w:p>
      <w:pPr>
        <w:spacing w:after="0" w:before="80"/>
      </w:pPr>
    </w:p>
    <w:p>
      <w:pPr>
        <w:pStyle w:val="Heading1"/>
      </w:pPr>
      <w:r>
        <w:rPr>
          <w:rFonts w:ascii="Arial" w:cs="Arial" w:eastAsia="Arial" w:hAnsi="Arial"/>
          <w:b/>
          <w:bCs/>
          <w:color w:val="0B1D3A"/>
          <w:sz w:val="28"/>
          <w:szCs w:val="28"/>
        </w:rPr>
        <w:t xml:space="preserve">6. Data Security</w:t>
      </w:r>
    </w:p>
    <w:p>
      <w:pPr>
        <w:pStyle w:val="Heading2"/>
      </w:pPr>
      <w:r>
        <w:rPr>
          <w:rFonts w:ascii="Arial" w:cs="Arial" w:eastAsia="Arial" w:hAnsi="Arial"/>
          <w:b/>
          <w:bCs/>
          <w:color w:val="0B1D3A"/>
          <w:sz w:val="24"/>
          <w:szCs w:val="24"/>
        </w:rPr>
        <w:t xml:space="preserve">6.1 Technical Measures</w:t>
      </w:r>
    </w:p>
    <w:p>
      <w:pPr>
        <w:pStyle w:val="ListParagraph"/>
        <w:numPr>
          <w:ilvl w:val="0"/>
          <w:numId w:val="2"/>
        </w:numPr>
        <w:spacing w:after="80"/>
      </w:pPr>
      <w:r>
        <w:rPr>
          <w:rFonts w:ascii="Arial" w:cs="Arial" w:eastAsia="Arial" w:hAnsi="Arial"/>
          <w:color w:val="333333"/>
          <w:sz w:val="22"/>
          <w:szCs w:val="22"/>
        </w:rPr>
        <w:t xml:space="preserve">All electronic patient records shall be stored on encrypted, access-controlled systems</w:t>
      </w:r>
    </w:p>
    <w:p>
      <w:pPr>
        <w:pStyle w:val="ListParagraph"/>
        <w:numPr>
          <w:ilvl w:val="0"/>
          <w:numId w:val="2"/>
        </w:numPr>
        <w:spacing w:after="80"/>
      </w:pPr>
      <w:r>
        <w:rPr>
          <w:rFonts w:ascii="Arial" w:cs="Arial" w:eastAsia="Arial" w:hAnsi="Arial"/>
          <w:color w:val="333333"/>
          <w:sz w:val="22"/>
          <w:szCs w:val="22"/>
        </w:rPr>
        <w:t xml:space="preserve">Passwords shall comply with the National Cyber Security Centre (NCSC) guidance</w:t>
      </w:r>
    </w:p>
    <w:p>
      <w:pPr>
        <w:pStyle w:val="ListParagraph"/>
        <w:numPr>
          <w:ilvl w:val="0"/>
          <w:numId w:val="2"/>
        </w:numPr>
        <w:spacing w:after="80"/>
      </w:pPr>
      <w:r>
        <w:rPr>
          <w:rFonts w:ascii="Arial" w:cs="Arial" w:eastAsia="Arial" w:hAnsi="Arial"/>
          <w:color w:val="333333"/>
          <w:sz w:val="22"/>
          <w:szCs w:val="22"/>
        </w:rPr>
        <w:t xml:space="preserve">Multi-factor authentication shall be required for access to clinical systems</w:t>
      </w:r>
    </w:p>
    <w:p>
      <w:pPr>
        <w:pStyle w:val="ListParagraph"/>
        <w:numPr>
          <w:ilvl w:val="0"/>
          <w:numId w:val="2"/>
        </w:numPr>
        <w:spacing w:after="80"/>
      </w:pPr>
      <w:r>
        <w:rPr>
          <w:rFonts w:ascii="Arial" w:cs="Arial" w:eastAsia="Arial" w:hAnsi="Arial"/>
          <w:color w:val="333333"/>
          <w:sz w:val="22"/>
          <w:szCs w:val="22"/>
        </w:rPr>
        <w:t xml:space="preserve">Automatic screen locking and session timeout shall be configured on all devices</w:t>
      </w:r>
    </w:p>
    <w:p>
      <w:pPr>
        <w:pStyle w:val="ListParagraph"/>
        <w:numPr>
          <w:ilvl w:val="0"/>
          <w:numId w:val="2"/>
        </w:numPr>
        <w:spacing w:after="80"/>
      </w:pPr>
      <w:r>
        <w:rPr>
          <w:rFonts w:ascii="Arial" w:cs="Arial" w:eastAsia="Arial" w:hAnsi="Arial"/>
          <w:color w:val="333333"/>
          <w:sz w:val="22"/>
          <w:szCs w:val="22"/>
        </w:rPr>
        <w:t xml:space="preserve">Regular software updates and patch management shall be maintained</w:t>
      </w:r>
    </w:p>
    <w:p>
      <w:pPr>
        <w:spacing w:after="0" w:before="80"/>
      </w:pPr>
    </w:p>
    <w:p>
      <w:pPr>
        <w:pStyle w:val="Heading2"/>
      </w:pPr>
      <w:r>
        <w:rPr>
          <w:rFonts w:ascii="Arial" w:cs="Arial" w:eastAsia="Arial" w:hAnsi="Arial"/>
          <w:b/>
          <w:bCs/>
          <w:color w:val="0B1D3A"/>
          <w:sz w:val="24"/>
          <w:szCs w:val="24"/>
        </w:rPr>
        <w:t xml:space="preserve">6.2 Physical Measures</w:t>
      </w:r>
    </w:p>
    <w:p>
      <w:pPr>
        <w:pStyle w:val="ListParagraph"/>
        <w:numPr>
          <w:ilvl w:val="0"/>
          <w:numId w:val="2"/>
        </w:numPr>
        <w:spacing w:after="80"/>
      </w:pPr>
      <w:r>
        <w:rPr>
          <w:rFonts w:ascii="Arial" w:cs="Arial" w:eastAsia="Arial" w:hAnsi="Arial"/>
          <w:color w:val="333333"/>
          <w:sz w:val="22"/>
          <w:szCs w:val="22"/>
        </w:rPr>
        <w:t xml:space="preserve">Paper records shall be stored in locked cabinets in secure areas</w:t>
      </w:r>
    </w:p>
    <w:p>
      <w:pPr>
        <w:pStyle w:val="ListParagraph"/>
        <w:numPr>
          <w:ilvl w:val="0"/>
          <w:numId w:val="2"/>
        </w:numPr>
        <w:spacing w:after="80"/>
      </w:pPr>
      <w:r>
        <w:rPr>
          <w:rFonts w:ascii="Arial" w:cs="Arial" w:eastAsia="Arial" w:hAnsi="Arial"/>
          <w:color w:val="333333"/>
          <w:sz w:val="22"/>
          <w:szCs w:val="22"/>
        </w:rPr>
        <w:t xml:space="preserve">Clinical areas shall be secured against unauthorised access</w:t>
      </w:r>
    </w:p>
    <w:p>
      <w:pPr>
        <w:pStyle w:val="ListParagraph"/>
        <w:numPr>
          <w:ilvl w:val="0"/>
          <w:numId w:val="2"/>
        </w:numPr>
        <w:spacing w:after="80"/>
      </w:pPr>
      <w:r>
        <w:rPr>
          <w:rFonts w:ascii="Arial" w:cs="Arial" w:eastAsia="Arial" w:hAnsi="Arial"/>
          <w:color w:val="333333"/>
          <w:sz w:val="22"/>
          <w:szCs w:val="22"/>
        </w:rPr>
        <w:t xml:space="preserve">Confidential waste shall be disposed of via cross-cut shredding or contracted confidential waste disposal</w:t>
      </w:r>
    </w:p>
    <w:p>
      <w:pPr>
        <w:pStyle w:val="ListParagraph"/>
        <w:numPr>
          <w:ilvl w:val="0"/>
          <w:numId w:val="2"/>
        </w:numPr>
        <w:spacing w:after="80"/>
      </w:pPr>
      <w:r>
        <w:rPr>
          <w:rFonts w:ascii="Arial" w:cs="Arial" w:eastAsia="Arial" w:hAnsi="Arial"/>
          <w:color w:val="333333"/>
          <w:sz w:val="22"/>
          <w:szCs w:val="22"/>
        </w:rPr>
        <w:t xml:space="preserve">Visitors shall be signed in and escorted where appropriate</w:t>
      </w:r>
    </w:p>
    <w:p>
      <w:pPr>
        <w:spacing w:after="0" w:before="80"/>
      </w:pPr>
    </w:p>
    <w:p>
      <w:pPr>
        <w:pStyle w:val="Heading1"/>
      </w:pPr>
      <w:r>
        <w:rPr>
          <w:rFonts w:ascii="Arial" w:cs="Arial" w:eastAsia="Arial" w:hAnsi="Arial"/>
          <w:b/>
          <w:bCs/>
          <w:color w:val="0B1D3A"/>
          <w:sz w:val="28"/>
          <w:szCs w:val="28"/>
        </w:rPr>
        <w:t xml:space="preserve">7. Data Breach Management</w:t>
      </w:r>
    </w:p>
    <w:p>
      <w:pPr>
        <w:spacing w:after="120"/>
        <w:jc w:val="both"/>
      </w:pPr>
      <w:r>
        <w:rPr>
          <w:rFonts w:ascii="Arial" w:cs="Arial" w:eastAsia="Arial" w:hAnsi="Arial"/>
          <w:color w:val="333333"/>
          <w:sz w:val="22"/>
          <w:szCs w:val="22"/>
        </w:rPr>
        <w:t xml:space="preserve">In the event of a personal data breach, the Data Protection Officer (or designated lead) shall assess the breach within 24 hours. Where the breach is likely to result in a risk to individuals’ rights and freedoms, it shall be reported to the Information Commissioner’s Office (ICO) within 72 hours under Article 33 UK GDPR. Where the breach is likely to result in a high risk to individuals, the affected individuals shall be notified without undue delay under Article 34 UK GDPR. CQC shall be notified via statutory notification where applicable.</w:t>
      </w:r>
    </w:p>
    <w:p>
      <w:pPr>
        <w:pStyle w:val="Heading1"/>
      </w:pPr>
      <w:r>
        <w:rPr>
          <w:rFonts w:ascii="Arial" w:cs="Arial" w:eastAsia="Arial" w:hAnsi="Arial"/>
          <w:b/>
          <w:bCs/>
          <w:color w:val="0B1D3A"/>
          <w:sz w:val="28"/>
          <w:szCs w:val="28"/>
        </w:rPr>
        <w:t xml:space="preserve">8. Data Subject Rights</w:t>
      </w:r>
    </w:p>
    <w:p>
      <w:pPr>
        <w:spacing w:after="120"/>
        <w:jc w:val="both"/>
      </w:pPr>
      <w:r>
        <w:rPr>
          <w:rFonts w:ascii="Arial" w:cs="Arial" w:eastAsia="Arial" w:hAnsi="Arial"/>
          <w:color w:val="333333"/>
          <w:sz w:val="22"/>
          <w:szCs w:val="22"/>
        </w:rPr>
        <w:t xml:space="preserve">[Insert Organisation Name] shall respond to data subject access requests (SARs) within one calendar month under Article 15 UK GDPR. The clinic shall also facilitate the rights of rectification (Article 16), erasure (Article 17, where applicable), restriction of processing (Article 18), data portability (Article 20), and objection (Article 21).</w:t>
      </w:r>
    </w:p>
    <w:p>
      <w:pPr>
        <w:pStyle w:val="Heading1"/>
      </w:pPr>
      <w:r>
        <w:rPr>
          <w:rFonts w:ascii="Arial" w:cs="Arial" w:eastAsia="Arial" w:hAnsi="Arial"/>
          <w:b/>
          <w:bCs/>
          <w:color w:val="0B1D3A"/>
          <w:sz w:val="28"/>
          <w:szCs w:val="28"/>
        </w:rPr>
        <w:t xml:space="preserve">9. Retention and Disposal</w:t>
      </w:r>
    </w:p>
    <w:p>
      <w:pPr>
        <w:spacing w:after="120"/>
        <w:jc w:val="both"/>
      </w:pPr>
      <w:r>
        <w:rPr>
          <w:rFonts w:ascii="Arial" w:cs="Arial" w:eastAsia="Arial" w:hAnsi="Arial"/>
          <w:color w:val="333333"/>
          <w:sz w:val="22"/>
          <w:szCs w:val="22"/>
        </w:rPr>
        <w:t xml:space="preserve">Personal data shall be retained in accordance with the clinic’s retention schedule, which shall align with the NHS Records Management Code of Practice 2021 and professional body guidance. Clinical records for adults shall be retained for a minimum of 8 years after the last treatment or until the patient reaches age 25 (whichever is later). Records for children shall be retained until the patient’s 25th birthday (or 26th if the patient was 17 at conclusion of treatment). Secure destruction shall be evidenced and logged.</w:t>
      </w:r>
    </w:p>
    <w:p>
      <w:pPr>
        <w:pStyle w:val="Heading1"/>
      </w:pPr>
      <w:r>
        <w:rPr>
          <w:rFonts w:ascii="Arial" w:cs="Arial" w:eastAsia="Arial" w:hAnsi="Arial"/>
          <w:b/>
          <w:bCs/>
          <w:color w:val="0B1D3A"/>
          <w:sz w:val="28"/>
          <w:szCs w:val="28"/>
        </w:rPr>
        <w:t xml:space="preserve">10. Training</w:t>
      </w:r>
    </w:p>
    <w:p>
      <w:pPr>
        <w:spacing w:after="120"/>
        <w:jc w:val="both"/>
      </w:pPr>
      <w:r>
        <w:rPr>
          <w:rFonts w:ascii="Arial" w:cs="Arial" w:eastAsia="Arial" w:hAnsi="Arial"/>
          <w:color w:val="333333"/>
          <w:sz w:val="22"/>
          <w:szCs w:val="22"/>
        </w:rPr>
        <w:t xml:space="preserve">All staff shall complete data protection and information governance training at induction and on an annual refresher basis. Staff with access to patient records shall complete additional Caldicott and confidentiality training. Training compliance shall be reported to the governance meeting.</w:t>
      </w: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Relevance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UK General Data Protection Regulation (UK GDPR)</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Data protection principles, lawful processing, data subject rights, and breach notification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Data Protection Act 2018</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Supplementary UK provisions including special category data conditions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17</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Good governance including data and information management</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Common Law Duty of Confidentiality</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Obligation to protect patient-identifiable information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Human Rights Act 1998 (Article 8)</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Right to respect for private and family life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Access to Health Records Act 1990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Access to deceased patients’ health records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Computer Misuse Act 1990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Offences related to unauthorised access to computer systems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NHS Records Management Code of Practice 2021</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Retention periods for health records</w:t>
            </w:r>
          </w:p>
        </w:tc>
      </w:tr>
    </w:tbl>
    <w:p>
      <w:pPr>
        <w:spacing w:after="0" w:before="200"/>
      </w:pPr>
    </w:p>
    <w:p>
      <w:pPr>
        <w:pStyle w:val="Heading1"/>
      </w:pPr>
      <w:r>
        <w:rPr>
          <w:rFonts w:ascii="Arial" w:cs="Arial" w:eastAsia="Arial" w:hAnsi="Arial"/>
          <w:b/>
          <w:bCs/>
          <w:color w:val="0B1D3A"/>
          <w:sz w:val="28"/>
          <w:szCs w:val="28"/>
        </w:rPr>
        <w:t xml:space="preserve">Document Approval and Sign-Off</w:t>
      </w:r>
    </w:p>
    <w:p>
      <w:pPr>
        <w:spacing w:after="120"/>
        <w:jc w:val="both"/>
      </w:pPr>
      <w:r>
        <w:rPr>
          <w:rFonts w:ascii="Arial" w:cs="Arial" w:eastAsia="Arial" w:hAnsi="Arial"/>
          <w:color w:val="333333"/>
          <w:sz w:val="22"/>
          <w:szCs w:val="22"/>
        </w:rPr>
        <w:t xml:space="preserve">This policy has been reviewed and approved by the following authorised personnel. By signing below, each confirms they have read, understood, and agree to uphold the requirements set out in this document.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Compliance Officer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template is provided by Barker Scott Ltd as a general compliance resource for CQC-regulated private health clinics. It must be customised to reflect the specific operations, services, and circumstances of [Insert Organisation Name]. Barker Scott Ltd accepts no liability for regulatory outcomes arising from use of this template. Independent legal and clinical advice should be sought as appropriate.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spacing w:before="0"/>
    </w:pPr>
    <w:r>
      <w:rPr>
        <w:rFonts w:ascii="Arial" w:cs="Arial" w:eastAsia="Arial" w:hAnsi="Arial"/>
        <w:color w:val="999999"/>
        <w:sz w:val="16"/>
        <w:szCs w:val="16"/>
      </w:rPr>
      <w:t xml:space="preserve">Ref: BS-PHC-DP-008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Data Protection and Confidentiality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2026-05-15T09:14:28.197Z</dcterms:created>
  <dcterms:modified xsi:type="dcterms:W3CDTF">2026-05-15T09:14:28.197Z</dcterms:modified>
</cp:coreProperties>
</file>

<file path=docProps/custom.xml><?xml version="1.0" encoding="utf-8"?>
<Properties xmlns="http://schemas.openxmlformats.org/officeDocument/2006/custom-properties" xmlns:vt="http://schemas.openxmlformats.org/officeDocument/2006/docPropsVTypes"/>
</file>